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FAE8E1" w14:textId="588B1259" w:rsidR="00D62C5A" w:rsidRPr="00B526F3" w:rsidRDefault="00D62C5A" w:rsidP="00FA0EEC">
      <w:pPr>
        <w:pStyle w:val="Paragrafoelenco"/>
      </w:pPr>
    </w:p>
    <w:p w14:paraId="5C8FDCA7" w14:textId="6FCF135E" w:rsidR="00180981" w:rsidRPr="00B526F3" w:rsidRDefault="00180981" w:rsidP="00180981">
      <w:pPr>
        <w:jc w:val="center"/>
        <w:rPr>
          <w:rFonts w:cs="Calibri"/>
          <w:b/>
          <w:bCs/>
          <w:color w:val="2F5496" w:themeColor="accent1" w:themeShade="BF"/>
          <w:sz w:val="32"/>
          <w:szCs w:val="32"/>
        </w:rPr>
      </w:pPr>
      <w:r w:rsidRPr="00B526F3">
        <w:rPr>
          <w:rFonts w:cs="Calibri"/>
          <w:b/>
          <w:bCs/>
          <w:color w:val="2F5496" w:themeColor="accent1" w:themeShade="BF"/>
          <w:sz w:val="32"/>
          <w:szCs w:val="32"/>
        </w:rPr>
        <w:t>P</w:t>
      </w:r>
      <w:r w:rsidR="002B741C" w:rsidRPr="00B526F3">
        <w:rPr>
          <w:rFonts w:cs="Calibri"/>
          <w:b/>
          <w:bCs/>
          <w:color w:val="2F5496" w:themeColor="accent1" w:themeShade="BF"/>
          <w:sz w:val="32"/>
          <w:szCs w:val="32"/>
        </w:rPr>
        <w:t>rogramma</w:t>
      </w:r>
      <w:r w:rsidRPr="00B526F3">
        <w:rPr>
          <w:rFonts w:cs="Calibri"/>
          <w:b/>
          <w:bCs/>
          <w:color w:val="2F5496" w:themeColor="accent1" w:themeShade="BF"/>
          <w:sz w:val="32"/>
          <w:szCs w:val="32"/>
        </w:rPr>
        <w:t xml:space="preserve"> </w:t>
      </w:r>
      <w:r w:rsidR="00A06365" w:rsidRPr="00B526F3">
        <w:rPr>
          <w:rFonts w:cs="Calibri"/>
          <w:b/>
          <w:bCs/>
          <w:color w:val="2F5496" w:themeColor="accent1" w:themeShade="BF"/>
          <w:sz w:val="32"/>
          <w:szCs w:val="32"/>
        </w:rPr>
        <w:t>Sicilia</w:t>
      </w:r>
      <w:r w:rsidRPr="00B526F3">
        <w:rPr>
          <w:rFonts w:cs="Calibri"/>
          <w:b/>
          <w:bCs/>
          <w:color w:val="2F5496" w:themeColor="accent1" w:themeShade="BF"/>
          <w:sz w:val="32"/>
          <w:szCs w:val="32"/>
        </w:rPr>
        <w:t xml:space="preserve"> FESR 2021 – 2027</w:t>
      </w:r>
    </w:p>
    <w:p w14:paraId="1610C850" w14:textId="75CDC624" w:rsidR="00180981" w:rsidRPr="00B526F3" w:rsidRDefault="00180981" w:rsidP="00180981">
      <w:pPr>
        <w:widowControl w:val="0"/>
        <w:autoSpaceDE w:val="0"/>
        <w:autoSpaceDN w:val="0"/>
        <w:spacing w:before="57"/>
        <w:ind w:left="385" w:right="543"/>
        <w:jc w:val="center"/>
        <w:rPr>
          <w:rFonts w:cs="Calibri"/>
          <w:color w:val="2F5496"/>
          <w:sz w:val="32"/>
          <w:szCs w:val="32"/>
        </w:rPr>
      </w:pPr>
      <w:bookmarkStart w:id="0" w:name="_Hlk135561578"/>
    </w:p>
    <w:p w14:paraId="1F69A370" w14:textId="77777777" w:rsidR="00180981" w:rsidRPr="00B526F3" w:rsidRDefault="00180981" w:rsidP="00180981">
      <w:pPr>
        <w:widowControl w:val="0"/>
        <w:autoSpaceDE w:val="0"/>
        <w:autoSpaceDN w:val="0"/>
        <w:spacing w:before="57"/>
        <w:ind w:left="385" w:right="543"/>
        <w:jc w:val="center"/>
        <w:rPr>
          <w:rFonts w:cs="Calibri"/>
          <w:color w:val="2F5496"/>
          <w:sz w:val="32"/>
          <w:szCs w:val="32"/>
        </w:rPr>
      </w:pPr>
    </w:p>
    <w:p w14:paraId="30F7297D" w14:textId="77777777" w:rsidR="00180981" w:rsidRPr="00B526F3" w:rsidRDefault="00180981" w:rsidP="00180981">
      <w:pPr>
        <w:widowControl w:val="0"/>
        <w:autoSpaceDE w:val="0"/>
        <w:autoSpaceDN w:val="0"/>
        <w:spacing w:before="57"/>
        <w:ind w:left="385" w:right="543"/>
        <w:jc w:val="center"/>
        <w:rPr>
          <w:rFonts w:cs="Calibri"/>
          <w:color w:val="2F5496"/>
          <w:sz w:val="32"/>
          <w:szCs w:val="32"/>
        </w:rPr>
      </w:pPr>
    </w:p>
    <w:p w14:paraId="6C36E53E" w14:textId="77777777" w:rsidR="00180981" w:rsidRPr="00B526F3" w:rsidRDefault="00180981" w:rsidP="00180981">
      <w:pPr>
        <w:widowControl w:val="0"/>
        <w:autoSpaceDE w:val="0"/>
        <w:autoSpaceDN w:val="0"/>
        <w:spacing w:before="57"/>
        <w:ind w:left="385" w:right="543"/>
        <w:jc w:val="center"/>
        <w:rPr>
          <w:rFonts w:cs="Calibri"/>
          <w:color w:val="2F5496"/>
          <w:sz w:val="32"/>
          <w:szCs w:val="32"/>
        </w:rPr>
      </w:pPr>
    </w:p>
    <w:bookmarkEnd w:id="0"/>
    <w:p w14:paraId="031082B7" w14:textId="560F2939" w:rsidR="00180981" w:rsidRPr="00B526F3" w:rsidRDefault="00D174DE" w:rsidP="00180981">
      <w:pPr>
        <w:spacing w:after="160" w:line="259" w:lineRule="auto"/>
        <w:jc w:val="center"/>
        <w:rPr>
          <w:rFonts w:cs="Calibri"/>
          <w:b/>
          <w:bCs/>
          <w:color w:val="2F5496" w:themeColor="accent1" w:themeShade="BF"/>
          <w:sz w:val="28"/>
          <w:szCs w:val="28"/>
        </w:rPr>
      </w:pPr>
      <w:r w:rsidRPr="00B526F3">
        <w:rPr>
          <w:rFonts w:cs="Calibri"/>
          <w:b/>
          <w:bCs/>
          <w:color w:val="2F5496" w:themeColor="accent1" w:themeShade="BF"/>
          <w:sz w:val="28"/>
          <w:szCs w:val="28"/>
        </w:rPr>
        <w:t>Opzioni Semplificate di Costo</w:t>
      </w:r>
    </w:p>
    <w:p w14:paraId="2D5210F3" w14:textId="4325E6BB" w:rsidR="00D174DE" w:rsidRPr="00B526F3" w:rsidRDefault="00D174DE" w:rsidP="00180981">
      <w:pPr>
        <w:spacing w:after="160" w:line="259" w:lineRule="auto"/>
        <w:jc w:val="center"/>
        <w:rPr>
          <w:rFonts w:cs="Calibri"/>
          <w:b/>
          <w:bCs/>
          <w:color w:val="2F5496" w:themeColor="accent1" w:themeShade="BF"/>
          <w:sz w:val="28"/>
          <w:szCs w:val="28"/>
        </w:rPr>
      </w:pPr>
      <w:r w:rsidRPr="00B526F3">
        <w:rPr>
          <w:rFonts w:cs="Calibri"/>
          <w:b/>
          <w:bCs/>
          <w:color w:val="2F5496" w:themeColor="accent1" w:themeShade="BF"/>
          <w:sz w:val="28"/>
          <w:szCs w:val="28"/>
        </w:rPr>
        <w:t>(</w:t>
      </w:r>
      <w:r w:rsidRPr="00B526F3">
        <w:rPr>
          <w:rFonts w:cs="Calibri"/>
          <w:b/>
          <w:bCs/>
          <w:i/>
          <w:iCs/>
          <w:color w:val="2F5496" w:themeColor="accent1" w:themeShade="BF"/>
          <w:sz w:val="28"/>
          <w:szCs w:val="28"/>
        </w:rPr>
        <w:t>OSC</w:t>
      </w:r>
      <w:r w:rsidRPr="00B526F3">
        <w:rPr>
          <w:rFonts w:cs="Calibri"/>
          <w:b/>
          <w:bCs/>
          <w:color w:val="2F5496" w:themeColor="accent1" w:themeShade="BF"/>
          <w:sz w:val="28"/>
          <w:szCs w:val="28"/>
        </w:rPr>
        <w:t>)</w:t>
      </w:r>
    </w:p>
    <w:p w14:paraId="7B8BF344" w14:textId="77777777" w:rsidR="00D174DE" w:rsidRPr="00B526F3" w:rsidRDefault="00D174DE" w:rsidP="00180981">
      <w:pPr>
        <w:spacing w:after="160" w:line="259" w:lineRule="auto"/>
        <w:jc w:val="center"/>
        <w:rPr>
          <w:rFonts w:cs="Calibri"/>
          <w:b/>
          <w:bCs/>
          <w:color w:val="2F5496" w:themeColor="accent1" w:themeShade="BF"/>
          <w:sz w:val="28"/>
          <w:szCs w:val="28"/>
        </w:rPr>
      </w:pPr>
    </w:p>
    <w:p w14:paraId="38D8C93B" w14:textId="6F3D0BCE" w:rsidR="00180981" w:rsidRPr="00B526F3" w:rsidRDefault="00D174DE" w:rsidP="00180981">
      <w:pPr>
        <w:spacing w:after="160" w:line="259" w:lineRule="auto"/>
        <w:jc w:val="center"/>
        <w:rPr>
          <w:rFonts w:cs="Calibri"/>
          <w:b/>
          <w:bCs/>
          <w:color w:val="2F5496" w:themeColor="accent1" w:themeShade="BF"/>
          <w:sz w:val="28"/>
          <w:szCs w:val="28"/>
        </w:rPr>
      </w:pPr>
      <w:r w:rsidRPr="00B526F3">
        <w:rPr>
          <w:rFonts w:cs="Calibri"/>
          <w:b/>
          <w:bCs/>
          <w:color w:val="2F5496" w:themeColor="accent1" w:themeShade="BF"/>
          <w:sz w:val="28"/>
          <w:szCs w:val="28"/>
        </w:rPr>
        <w:t>Linee Guida</w:t>
      </w:r>
    </w:p>
    <w:p w14:paraId="4F9FEFB0" w14:textId="77777777" w:rsidR="00180981" w:rsidRPr="00B526F3" w:rsidRDefault="00180981" w:rsidP="00180981">
      <w:pPr>
        <w:spacing w:after="160" w:line="259" w:lineRule="auto"/>
        <w:jc w:val="center"/>
        <w:rPr>
          <w:rFonts w:cs="Calibri"/>
          <w:b/>
          <w:bCs/>
          <w:color w:val="2F5496" w:themeColor="accent1" w:themeShade="BF"/>
          <w:sz w:val="28"/>
          <w:szCs w:val="28"/>
        </w:rPr>
      </w:pPr>
    </w:p>
    <w:p w14:paraId="2F2D8CE1" w14:textId="77777777" w:rsidR="0036436B" w:rsidRPr="00B526F3" w:rsidRDefault="0036436B" w:rsidP="00180981">
      <w:pPr>
        <w:spacing w:after="160" w:line="259" w:lineRule="auto"/>
        <w:jc w:val="center"/>
        <w:rPr>
          <w:rFonts w:cs="Calibri"/>
          <w:b/>
          <w:bCs/>
          <w:color w:val="2F5496" w:themeColor="accent1" w:themeShade="BF"/>
          <w:sz w:val="28"/>
          <w:szCs w:val="28"/>
        </w:rPr>
      </w:pPr>
    </w:p>
    <w:p w14:paraId="00A4BB9E" w14:textId="77777777" w:rsidR="0036436B" w:rsidRPr="00B526F3" w:rsidRDefault="0036436B" w:rsidP="00180981">
      <w:pPr>
        <w:spacing w:after="160" w:line="259" w:lineRule="auto"/>
        <w:jc w:val="center"/>
        <w:rPr>
          <w:rFonts w:cs="Calibri"/>
          <w:b/>
          <w:bCs/>
          <w:color w:val="2F5496" w:themeColor="accent1" w:themeShade="BF"/>
          <w:sz w:val="28"/>
          <w:szCs w:val="28"/>
        </w:rPr>
      </w:pPr>
    </w:p>
    <w:p w14:paraId="033BD3D7" w14:textId="77777777" w:rsidR="0036436B" w:rsidRPr="00B526F3" w:rsidRDefault="0036436B" w:rsidP="00180981">
      <w:pPr>
        <w:spacing w:after="160" w:line="259" w:lineRule="auto"/>
        <w:jc w:val="center"/>
        <w:rPr>
          <w:rFonts w:cs="Calibri"/>
          <w:b/>
          <w:bCs/>
          <w:color w:val="2F5496" w:themeColor="accent1" w:themeShade="BF"/>
          <w:sz w:val="28"/>
          <w:szCs w:val="28"/>
        </w:rPr>
      </w:pPr>
    </w:p>
    <w:p w14:paraId="494C7653" w14:textId="77777777" w:rsidR="0036436B" w:rsidRPr="00B526F3" w:rsidRDefault="0036436B" w:rsidP="00180981">
      <w:pPr>
        <w:spacing w:after="160" w:line="259" w:lineRule="auto"/>
        <w:jc w:val="center"/>
        <w:rPr>
          <w:rFonts w:cs="Calibri"/>
          <w:b/>
          <w:bCs/>
          <w:color w:val="2F5496" w:themeColor="accent1" w:themeShade="BF"/>
          <w:sz w:val="28"/>
          <w:szCs w:val="28"/>
        </w:rPr>
      </w:pPr>
    </w:p>
    <w:p w14:paraId="40D1B0C1" w14:textId="77777777" w:rsidR="0036436B" w:rsidRPr="00B526F3" w:rsidRDefault="0036436B" w:rsidP="00180981">
      <w:pPr>
        <w:spacing w:after="160" w:line="259" w:lineRule="auto"/>
        <w:jc w:val="center"/>
        <w:rPr>
          <w:rFonts w:cs="Calibri"/>
          <w:b/>
          <w:bCs/>
          <w:color w:val="2F5496" w:themeColor="accent1" w:themeShade="BF"/>
          <w:sz w:val="28"/>
          <w:szCs w:val="28"/>
        </w:rPr>
      </w:pPr>
    </w:p>
    <w:p w14:paraId="2DB6BFC4" w14:textId="6DF33EB4" w:rsidR="0036436B" w:rsidRPr="00B526F3" w:rsidRDefault="006901CE" w:rsidP="00180981">
      <w:pPr>
        <w:spacing w:after="160" w:line="259" w:lineRule="auto"/>
        <w:jc w:val="center"/>
        <w:rPr>
          <w:rFonts w:cs="Calibri"/>
          <w:b/>
          <w:bCs/>
          <w:i/>
          <w:iCs/>
          <w:color w:val="2F5496" w:themeColor="accent1" w:themeShade="BF"/>
          <w:sz w:val="28"/>
          <w:szCs w:val="28"/>
        </w:rPr>
      </w:pPr>
      <w:r>
        <w:rPr>
          <w:rFonts w:cs="Calibri"/>
          <w:b/>
          <w:bCs/>
          <w:i/>
          <w:iCs/>
          <w:color w:val="2F5496" w:themeColor="accent1" w:themeShade="BF"/>
          <w:sz w:val="28"/>
          <w:szCs w:val="28"/>
        </w:rPr>
        <w:t>Gennaio 2025</w:t>
      </w:r>
    </w:p>
    <w:p w14:paraId="0747EDCE" w14:textId="77777777" w:rsidR="00BB04C7" w:rsidRPr="00B526F3" w:rsidRDefault="00BB04C7" w:rsidP="00BB04C7"/>
    <w:p w14:paraId="13D4A737" w14:textId="77777777" w:rsidR="00BB04C7" w:rsidRPr="00B526F3" w:rsidRDefault="00BB04C7" w:rsidP="00BB04C7"/>
    <w:p w14:paraId="38A23C17" w14:textId="77777777" w:rsidR="00BB04C7" w:rsidRPr="00B526F3" w:rsidRDefault="00BB04C7" w:rsidP="00BB04C7"/>
    <w:p w14:paraId="5AB621B3" w14:textId="77777777" w:rsidR="00BB04C7" w:rsidRPr="00B526F3" w:rsidRDefault="00BB04C7">
      <w:pPr>
        <w:spacing w:after="160" w:line="259" w:lineRule="auto"/>
        <w:jc w:val="left"/>
      </w:pPr>
      <w:r w:rsidRPr="00B526F3">
        <w:br w:type="page"/>
      </w:r>
    </w:p>
    <w:p w14:paraId="75BE1614" w14:textId="77777777" w:rsidR="00BB04C7" w:rsidRPr="00B526F3" w:rsidRDefault="00BB04C7" w:rsidP="00BB04C7">
      <w:r w:rsidRPr="00B526F3">
        <w:lastRenderedPageBreak/>
        <w:t>Indice</w:t>
      </w:r>
    </w:p>
    <w:p w14:paraId="033FCB2B" w14:textId="77777777" w:rsidR="00BB04C7" w:rsidRPr="00B526F3" w:rsidRDefault="00BB04C7" w:rsidP="00BB04C7"/>
    <w:p w14:paraId="300F8BFA" w14:textId="77777777" w:rsidR="00A801C9" w:rsidRDefault="008C5B27">
      <w:pPr>
        <w:pStyle w:val="Sommario1"/>
        <w:tabs>
          <w:tab w:val="right" w:leader="dot" w:pos="9628"/>
        </w:tabs>
        <w:rPr>
          <w:rFonts w:eastAsiaTheme="minorEastAsia" w:cstheme="minorBidi"/>
          <w:b w:val="0"/>
          <w:bCs w:val="0"/>
          <w:caps w:val="0"/>
          <w:noProof/>
          <w:sz w:val="22"/>
          <w:szCs w:val="22"/>
        </w:rPr>
      </w:pPr>
      <w:r w:rsidRPr="00B526F3">
        <w:fldChar w:fldCharType="begin"/>
      </w:r>
      <w:r w:rsidRPr="00B526F3">
        <w:instrText xml:space="preserve"> TOC \o "1-3" \h \z \u </w:instrText>
      </w:r>
      <w:r w:rsidRPr="00B526F3">
        <w:fldChar w:fldCharType="separate"/>
      </w:r>
      <w:hyperlink w:anchor="_Toc189753931" w:history="1">
        <w:r w:rsidR="00A801C9" w:rsidRPr="00224111">
          <w:rPr>
            <w:rStyle w:val="Collegamentoipertestuale"/>
            <w:noProof/>
          </w:rPr>
          <w:t>Introduzione</w:t>
        </w:r>
        <w:r w:rsidR="00A801C9">
          <w:rPr>
            <w:noProof/>
            <w:webHidden/>
          </w:rPr>
          <w:tab/>
        </w:r>
        <w:r w:rsidR="00A801C9">
          <w:rPr>
            <w:noProof/>
            <w:webHidden/>
          </w:rPr>
          <w:fldChar w:fldCharType="begin"/>
        </w:r>
        <w:r w:rsidR="00A801C9">
          <w:rPr>
            <w:noProof/>
            <w:webHidden/>
          </w:rPr>
          <w:instrText xml:space="preserve"> PAGEREF _Toc189753931 \h </w:instrText>
        </w:r>
        <w:r w:rsidR="00A801C9">
          <w:rPr>
            <w:noProof/>
            <w:webHidden/>
          </w:rPr>
        </w:r>
        <w:r w:rsidR="00A801C9">
          <w:rPr>
            <w:noProof/>
            <w:webHidden/>
          </w:rPr>
          <w:fldChar w:fldCharType="separate"/>
        </w:r>
        <w:r w:rsidR="00A801C9">
          <w:rPr>
            <w:noProof/>
            <w:webHidden/>
          </w:rPr>
          <w:t>3</w:t>
        </w:r>
        <w:r w:rsidR="00A801C9">
          <w:rPr>
            <w:noProof/>
            <w:webHidden/>
          </w:rPr>
          <w:fldChar w:fldCharType="end"/>
        </w:r>
      </w:hyperlink>
    </w:p>
    <w:p w14:paraId="5F79B92E" w14:textId="77777777" w:rsidR="00A801C9" w:rsidRDefault="00A801C9">
      <w:pPr>
        <w:pStyle w:val="Sommario1"/>
        <w:tabs>
          <w:tab w:val="left" w:pos="400"/>
          <w:tab w:val="right" w:leader="dot" w:pos="9628"/>
        </w:tabs>
        <w:rPr>
          <w:rFonts w:eastAsiaTheme="minorEastAsia" w:cstheme="minorBidi"/>
          <w:b w:val="0"/>
          <w:bCs w:val="0"/>
          <w:caps w:val="0"/>
          <w:noProof/>
          <w:sz w:val="22"/>
          <w:szCs w:val="22"/>
        </w:rPr>
      </w:pPr>
      <w:hyperlink w:anchor="_Toc189753932" w:history="1">
        <w:r w:rsidRPr="00224111">
          <w:rPr>
            <w:rStyle w:val="Collegamentoipertestuale"/>
            <w:noProof/>
          </w:rPr>
          <w:t>1.</w:t>
        </w:r>
        <w:r>
          <w:rPr>
            <w:rFonts w:eastAsiaTheme="minorEastAsia" w:cstheme="minorBidi"/>
            <w:b w:val="0"/>
            <w:bCs w:val="0"/>
            <w:caps w:val="0"/>
            <w:noProof/>
            <w:sz w:val="22"/>
            <w:szCs w:val="22"/>
          </w:rPr>
          <w:tab/>
        </w:r>
        <w:r w:rsidRPr="00224111">
          <w:rPr>
            <w:rStyle w:val="Collegamentoipertestuale"/>
            <w:noProof/>
          </w:rPr>
          <w:t>Quadro normativo per la programmazione 2021-2027</w:t>
        </w:r>
        <w:r>
          <w:rPr>
            <w:noProof/>
            <w:webHidden/>
          </w:rPr>
          <w:tab/>
        </w:r>
        <w:r>
          <w:rPr>
            <w:noProof/>
            <w:webHidden/>
          </w:rPr>
          <w:fldChar w:fldCharType="begin"/>
        </w:r>
        <w:r>
          <w:rPr>
            <w:noProof/>
            <w:webHidden/>
          </w:rPr>
          <w:instrText xml:space="preserve"> PAGEREF _Toc189753932 \h </w:instrText>
        </w:r>
        <w:r>
          <w:rPr>
            <w:noProof/>
            <w:webHidden/>
          </w:rPr>
        </w:r>
        <w:r>
          <w:rPr>
            <w:noProof/>
            <w:webHidden/>
          </w:rPr>
          <w:fldChar w:fldCharType="separate"/>
        </w:r>
        <w:r>
          <w:rPr>
            <w:noProof/>
            <w:webHidden/>
          </w:rPr>
          <w:t>4</w:t>
        </w:r>
        <w:r>
          <w:rPr>
            <w:noProof/>
            <w:webHidden/>
          </w:rPr>
          <w:fldChar w:fldCharType="end"/>
        </w:r>
      </w:hyperlink>
    </w:p>
    <w:p w14:paraId="5BC1FEDD" w14:textId="77777777" w:rsidR="00A801C9" w:rsidRDefault="00A801C9">
      <w:pPr>
        <w:pStyle w:val="Sommario2"/>
        <w:tabs>
          <w:tab w:val="left" w:pos="800"/>
          <w:tab w:val="right" w:leader="dot" w:pos="9628"/>
        </w:tabs>
        <w:rPr>
          <w:rFonts w:eastAsiaTheme="minorEastAsia" w:cstheme="minorBidi"/>
          <w:smallCaps w:val="0"/>
          <w:noProof/>
          <w:sz w:val="22"/>
          <w:szCs w:val="22"/>
        </w:rPr>
      </w:pPr>
      <w:hyperlink w:anchor="_Toc189753933" w:history="1">
        <w:r w:rsidRPr="00224111">
          <w:rPr>
            <w:rStyle w:val="Collegamentoipertestuale"/>
            <w:noProof/>
          </w:rPr>
          <w:t>1.1.</w:t>
        </w:r>
        <w:r>
          <w:rPr>
            <w:rFonts w:eastAsiaTheme="minorEastAsia" w:cstheme="minorBidi"/>
            <w:smallCaps w:val="0"/>
            <w:noProof/>
            <w:sz w:val="22"/>
            <w:szCs w:val="22"/>
          </w:rPr>
          <w:tab/>
        </w:r>
        <w:r w:rsidRPr="00224111">
          <w:rPr>
            <w:rStyle w:val="Collegamentoipertestuale"/>
            <w:noProof/>
          </w:rPr>
          <w:t>Definizione di un metodo di calcolo giusto, equo e verificabile</w:t>
        </w:r>
        <w:r>
          <w:rPr>
            <w:noProof/>
            <w:webHidden/>
          </w:rPr>
          <w:tab/>
        </w:r>
        <w:r>
          <w:rPr>
            <w:noProof/>
            <w:webHidden/>
          </w:rPr>
          <w:fldChar w:fldCharType="begin"/>
        </w:r>
        <w:r>
          <w:rPr>
            <w:noProof/>
            <w:webHidden/>
          </w:rPr>
          <w:instrText xml:space="preserve"> PAGEREF _Toc189753933 \h </w:instrText>
        </w:r>
        <w:r>
          <w:rPr>
            <w:noProof/>
            <w:webHidden/>
          </w:rPr>
        </w:r>
        <w:r>
          <w:rPr>
            <w:noProof/>
            <w:webHidden/>
          </w:rPr>
          <w:fldChar w:fldCharType="separate"/>
        </w:r>
        <w:r>
          <w:rPr>
            <w:noProof/>
            <w:webHidden/>
          </w:rPr>
          <w:t>7</w:t>
        </w:r>
        <w:r>
          <w:rPr>
            <w:noProof/>
            <w:webHidden/>
          </w:rPr>
          <w:fldChar w:fldCharType="end"/>
        </w:r>
      </w:hyperlink>
    </w:p>
    <w:p w14:paraId="3C5B465E" w14:textId="77777777" w:rsidR="00A801C9" w:rsidRDefault="00A801C9">
      <w:pPr>
        <w:pStyle w:val="Sommario2"/>
        <w:tabs>
          <w:tab w:val="left" w:pos="800"/>
          <w:tab w:val="right" w:leader="dot" w:pos="9628"/>
        </w:tabs>
        <w:rPr>
          <w:rFonts w:eastAsiaTheme="minorEastAsia" w:cstheme="minorBidi"/>
          <w:smallCaps w:val="0"/>
          <w:noProof/>
          <w:sz w:val="22"/>
          <w:szCs w:val="22"/>
        </w:rPr>
      </w:pPr>
      <w:hyperlink w:anchor="_Toc189753934" w:history="1">
        <w:r w:rsidRPr="00224111">
          <w:rPr>
            <w:rStyle w:val="Collegamentoipertestuale"/>
            <w:noProof/>
          </w:rPr>
          <w:t>1.2.</w:t>
        </w:r>
        <w:r>
          <w:rPr>
            <w:rFonts w:eastAsiaTheme="minorEastAsia" w:cstheme="minorBidi"/>
            <w:smallCaps w:val="0"/>
            <w:noProof/>
            <w:sz w:val="22"/>
            <w:szCs w:val="22"/>
          </w:rPr>
          <w:tab/>
        </w:r>
        <w:r w:rsidRPr="00224111">
          <w:rPr>
            <w:rStyle w:val="Collegamentoipertestuale"/>
            <w:noProof/>
          </w:rPr>
          <w:t>Il progetto di bilancio</w:t>
        </w:r>
        <w:r>
          <w:rPr>
            <w:noProof/>
            <w:webHidden/>
          </w:rPr>
          <w:tab/>
        </w:r>
        <w:r>
          <w:rPr>
            <w:noProof/>
            <w:webHidden/>
          </w:rPr>
          <w:fldChar w:fldCharType="begin"/>
        </w:r>
        <w:r>
          <w:rPr>
            <w:noProof/>
            <w:webHidden/>
          </w:rPr>
          <w:instrText xml:space="preserve"> PAGEREF _Toc189753934 \h </w:instrText>
        </w:r>
        <w:r>
          <w:rPr>
            <w:noProof/>
            <w:webHidden/>
          </w:rPr>
        </w:r>
        <w:r>
          <w:rPr>
            <w:noProof/>
            <w:webHidden/>
          </w:rPr>
          <w:fldChar w:fldCharType="separate"/>
        </w:r>
        <w:r>
          <w:rPr>
            <w:noProof/>
            <w:webHidden/>
          </w:rPr>
          <w:t>7</w:t>
        </w:r>
        <w:r>
          <w:rPr>
            <w:noProof/>
            <w:webHidden/>
          </w:rPr>
          <w:fldChar w:fldCharType="end"/>
        </w:r>
      </w:hyperlink>
    </w:p>
    <w:p w14:paraId="14A75513" w14:textId="77777777" w:rsidR="00A801C9" w:rsidRDefault="00A801C9">
      <w:pPr>
        <w:pStyle w:val="Sommario2"/>
        <w:tabs>
          <w:tab w:val="left" w:pos="800"/>
          <w:tab w:val="right" w:leader="dot" w:pos="9628"/>
        </w:tabs>
        <w:rPr>
          <w:rFonts w:eastAsiaTheme="minorEastAsia" w:cstheme="minorBidi"/>
          <w:smallCaps w:val="0"/>
          <w:noProof/>
          <w:sz w:val="22"/>
          <w:szCs w:val="22"/>
        </w:rPr>
      </w:pPr>
      <w:hyperlink w:anchor="_Toc189753935" w:history="1">
        <w:r w:rsidRPr="00224111">
          <w:rPr>
            <w:rStyle w:val="Collegamentoipertestuale"/>
            <w:noProof/>
          </w:rPr>
          <w:t>1.3.</w:t>
        </w:r>
        <w:r>
          <w:rPr>
            <w:rFonts w:eastAsiaTheme="minorEastAsia" w:cstheme="minorBidi"/>
            <w:smallCaps w:val="0"/>
            <w:noProof/>
            <w:sz w:val="22"/>
            <w:szCs w:val="22"/>
          </w:rPr>
          <w:tab/>
        </w:r>
        <w:r w:rsidRPr="00224111">
          <w:rPr>
            <w:rStyle w:val="Collegamentoipertestuale"/>
            <w:noProof/>
          </w:rPr>
          <w:t>Metodi in uso</w:t>
        </w:r>
        <w:r>
          <w:rPr>
            <w:noProof/>
            <w:webHidden/>
          </w:rPr>
          <w:tab/>
        </w:r>
        <w:r>
          <w:rPr>
            <w:noProof/>
            <w:webHidden/>
          </w:rPr>
          <w:fldChar w:fldCharType="begin"/>
        </w:r>
        <w:r>
          <w:rPr>
            <w:noProof/>
            <w:webHidden/>
          </w:rPr>
          <w:instrText xml:space="preserve"> PAGEREF _Toc189753935 \h </w:instrText>
        </w:r>
        <w:r>
          <w:rPr>
            <w:noProof/>
            <w:webHidden/>
          </w:rPr>
        </w:r>
        <w:r>
          <w:rPr>
            <w:noProof/>
            <w:webHidden/>
          </w:rPr>
          <w:fldChar w:fldCharType="separate"/>
        </w:r>
        <w:r>
          <w:rPr>
            <w:noProof/>
            <w:webHidden/>
          </w:rPr>
          <w:t>8</w:t>
        </w:r>
        <w:r>
          <w:rPr>
            <w:noProof/>
            <w:webHidden/>
          </w:rPr>
          <w:fldChar w:fldCharType="end"/>
        </w:r>
      </w:hyperlink>
    </w:p>
    <w:p w14:paraId="727773F8" w14:textId="77777777" w:rsidR="00A801C9" w:rsidRDefault="00A801C9">
      <w:pPr>
        <w:pStyle w:val="Sommario2"/>
        <w:tabs>
          <w:tab w:val="left" w:pos="800"/>
          <w:tab w:val="right" w:leader="dot" w:pos="9628"/>
        </w:tabs>
        <w:rPr>
          <w:rFonts w:eastAsiaTheme="minorEastAsia" w:cstheme="minorBidi"/>
          <w:smallCaps w:val="0"/>
          <w:noProof/>
          <w:sz w:val="22"/>
          <w:szCs w:val="22"/>
        </w:rPr>
      </w:pPr>
      <w:hyperlink w:anchor="_Toc189753936" w:history="1">
        <w:r w:rsidRPr="00224111">
          <w:rPr>
            <w:rStyle w:val="Collegamentoipertestuale"/>
            <w:noProof/>
          </w:rPr>
          <w:t>1.4.</w:t>
        </w:r>
        <w:r>
          <w:rPr>
            <w:rFonts w:eastAsiaTheme="minorEastAsia" w:cstheme="minorBidi"/>
            <w:smallCaps w:val="0"/>
            <w:noProof/>
            <w:sz w:val="22"/>
            <w:szCs w:val="22"/>
          </w:rPr>
          <w:tab/>
        </w:r>
        <w:r w:rsidRPr="00224111">
          <w:rPr>
            <w:rStyle w:val="Collegamentoipertestuale"/>
            <w:noProof/>
          </w:rPr>
          <w:t>Metodi definiti dal RDC</w:t>
        </w:r>
        <w:r>
          <w:rPr>
            <w:noProof/>
            <w:webHidden/>
          </w:rPr>
          <w:tab/>
        </w:r>
        <w:r>
          <w:rPr>
            <w:noProof/>
            <w:webHidden/>
          </w:rPr>
          <w:fldChar w:fldCharType="begin"/>
        </w:r>
        <w:r>
          <w:rPr>
            <w:noProof/>
            <w:webHidden/>
          </w:rPr>
          <w:instrText xml:space="preserve"> PAGEREF _Toc189753936 \h </w:instrText>
        </w:r>
        <w:r>
          <w:rPr>
            <w:noProof/>
            <w:webHidden/>
          </w:rPr>
        </w:r>
        <w:r>
          <w:rPr>
            <w:noProof/>
            <w:webHidden/>
          </w:rPr>
          <w:fldChar w:fldCharType="separate"/>
        </w:r>
        <w:r>
          <w:rPr>
            <w:noProof/>
            <w:webHidden/>
          </w:rPr>
          <w:t>11</w:t>
        </w:r>
        <w:r>
          <w:rPr>
            <w:noProof/>
            <w:webHidden/>
          </w:rPr>
          <w:fldChar w:fldCharType="end"/>
        </w:r>
      </w:hyperlink>
    </w:p>
    <w:p w14:paraId="6BA8E887" w14:textId="77777777" w:rsidR="00A801C9" w:rsidRDefault="00A801C9">
      <w:pPr>
        <w:pStyle w:val="Sommario1"/>
        <w:tabs>
          <w:tab w:val="left" w:pos="400"/>
          <w:tab w:val="right" w:leader="dot" w:pos="9628"/>
        </w:tabs>
        <w:rPr>
          <w:rFonts w:eastAsiaTheme="minorEastAsia" w:cstheme="minorBidi"/>
          <w:b w:val="0"/>
          <w:bCs w:val="0"/>
          <w:caps w:val="0"/>
          <w:noProof/>
          <w:sz w:val="22"/>
          <w:szCs w:val="22"/>
        </w:rPr>
      </w:pPr>
      <w:hyperlink w:anchor="_Toc189753937" w:history="1">
        <w:r w:rsidRPr="00224111">
          <w:rPr>
            <w:rStyle w:val="Collegamentoipertestuale"/>
            <w:noProof/>
          </w:rPr>
          <w:t>2.</w:t>
        </w:r>
        <w:r>
          <w:rPr>
            <w:rFonts w:eastAsiaTheme="minorEastAsia" w:cstheme="minorBidi"/>
            <w:b w:val="0"/>
            <w:bCs w:val="0"/>
            <w:caps w:val="0"/>
            <w:noProof/>
            <w:sz w:val="22"/>
            <w:szCs w:val="22"/>
          </w:rPr>
          <w:tab/>
        </w:r>
        <w:r w:rsidRPr="00224111">
          <w:rPr>
            <w:rStyle w:val="Collegamentoipertestuale"/>
            <w:noProof/>
          </w:rPr>
          <w:t>Ipotesi di applicazione al PR</w:t>
        </w:r>
        <w:r>
          <w:rPr>
            <w:noProof/>
            <w:webHidden/>
          </w:rPr>
          <w:tab/>
        </w:r>
        <w:r>
          <w:rPr>
            <w:noProof/>
            <w:webHidden/>
          </w:rPr>
          <w:fldChar w:fldCharType="begin"/>
        </w:r>
        <w:r>
          <w:rPr>
            <w:noProof/>
            <w:webHidden/>
          </w:rPr>
          <w:instrText xml:space="preserve"> PAGEREF _Toc189753937 \h </w:instrText>
        </w:r>
        <w:r>
          <w:rPr>
            <w:noProof/>
            <w:webHidden/>
          </w:rPr>
        </w:r>
        <w:r>
          <w:rPr>
            <w:noProof/>
            <w:webHidden/>
          </w:rPr>
          <w:fldChar w:fldCharType="separate"/>
        </w:r>
        <w:r>
          <w:rPr>
            <w:noProof/>
            <w:webHidden/>
          </w:rPr>
          <w:t>14</w:t>
        </w:r>
        <w:r>
          <w:rPr>
            <w:noProof/>
            <w:webHidden/>
          </w:rPr>
          <w:fldChar w:fldCharType="end"/>
        </w:r>
      </w:hyperlink>
    </w:p>
    <w:p w14:paraId="49ED7190" w14:textId="77777777" w:rsidR="00A801C9" w:rsidRDefault="00A801C9">
      <w:pPr>
        <w:pStyle w:val="Sommario2"/>
        <w:tabs>
          <w:tab w:val="left" w:pos="800"/>
          <w:tab w:val="right" w:leader="dot" w:pos="9628"/>
        </w:tabs>
        <w:rPr>
          <w:rFonts w:eastAsiaTheme="minorEastAsia" w:cstheme="minorBidi"/>
          <w:smallCaps w:val="0"/>
          <w:noProof/>
          <w:sz w:val="22"/>
          <w:szCs w:val="22"/>
        </w:rPr>
      </w:pPr>
      <w:hyperlink w:anchor="_Toc189753938" w:history="1">
        <w:r w:rsidRPr="00224111">
          <w:rPr>
            <w:rStyle w:val="Collegamentoipertestuale"/>
            <w:noProof/>
          </w:rPr>
          <w:t>2.1.</w:t>
        </w:r>
        <w:r>
          <w:rPr>
            <w:rFonts w:eastAsiaTheme="minorEastAsia" w:cstheme="minorBidi"/>
            <w:smallCaps w:val="0"/>
            <w:noProof/>
            <w:sz w:val="22"/>
            <w:szCs w:val="22"/>
          </w:rPr>
          <w:tab/>
        </w:r>
        <w:r w:rsidRPr="00224111">
          <w:rPr>
            <w:rStyle w:val="Collegamentoipertestuale"/>
            <w:noProof/>
          </w:rPr>
          <w:t>Indicazioni in materia di Aiuti di Stato</w:t>
        </w:r>
        <w:r>
          <w:rPr>
            <w:noProof/>
            <w:webHidden/>
          </w:rPr>
          <w:tab/>
        </w:r>
        <w:r>
          <w:rPr>
            <w:noProof/>
            <w:webHidden/>
          </w:rPr>
          <w:fldChar w:fldCharType="begin"/>
        </w:r>
        <w:r>
          <w:rPr>
            <w:noProof/>
            <w:webHidden/>
          </w:rPr>
          <w:instrText xml:space="preserve"> PAGEREF _Toc189753938 \h </w:instrText>
        </w:r>
        <w:r>
          <w:rPr>
            <w:noProof/>
            <w:webHidden/>
          </w:rPr>
        </w:r>
        <w:r>
          <w:rPr>
            <w:noProof/>
            <w:webHidden/>
          </w:rPr>
          <w:fldChar w:fldCharType="separate"/>
        </w:r>
        <w:r>
          <w:rPr>
            <w:noProof/>
            <w:webHidden/>
          </w:rPr>
          <w:t>16</w:t>
        </w:r>
        <w:r>
          <w:rPr>
            <w:noProof/>
            <w:webHidden/>
          </w:rPr>
          <w:fldChar w:fldCharType="end"/>
        </w:r>
      </w:hyperlink>
    </w:p>
    <w:p w14:paraId="352A7828" w14:textId="77777777" w:rsidR="00A801C9" w:rsidRDefault="00A801C9">
      <w:pPr>
        <w:pStyle w:val="Sommario1"/>
        <w:tabs>
          <w:tab w:val="left" w:pos="400"/>
          <w:tab w:val="right" w:leader="dot" w:pos="9628"/>
        </w:tabs>
        <w:rPr>
          <w:rFonts w:eastAsiaTheme="minorEastAsia" w:cstheme="minorBidi"/>
          <w:b w:val="0"/>
          <w:bCs w:val="0"/>
          <w:caps w:val="0"/>
          <w:noProof/>
          <w:sz w:val="22"/>
          <w:szCs w:val="22"/>
        </w:rPr>
      </w:pPr>
      <w:hyperlink w:anchor="_Toc189753939" w:history="1">
        <w:r w:rsidRPr="00224111">
          <w:rPr>
            <w:rStyle w:val="Collegamentoipertestuale"/>
            <w:noProof/>
          </w:rPr>
          <w:t>3.</w:t>
        </w:r>
        <w:r>
          <w:rPr>
            <w:rFonts w:eastAsiaTheme="minorEastAsia" w:cstheme="minorBidi"/>
            <w:b w:val="0"/>
            <w:bCs w:val="0"/>
            <w:caps w:val="0"/>
            <w:noProof/>
            <w:sz w:val="22"/>
            <w:szCs w:val="22"/>
          </w:rPr>
          <w:tab/>
        </w:r>
        <w:r w:rsidRPr="00224111">
          <w:rPr>
            <w:rStyle w:val="Collegamentoipertestuale"/>
            <w:noProof/>
          </w:rPr>
          <w:t>Esempio di definizione di un metodo</w:t>
        </w:r>
        <w:r>
          <w:rPr>
            <w:noProof/>
            <w:webHidden/>
          </w:rPr>
          <w:tab/>
        </w:r>
        <w:r>
          <w:rPr>
            <w:noProof/>
            <w:webHidden/>
          </w:rPr>
          <w:fldChar w:fldCharType="begin"/>
        </w:r>
        <w:r>
          <w:rPr>
            <w:noProof/>
            <w:webHidden/>
          </w:rPr>
          <w:instrText xml:space="preserve"> PAGEREF _Toc189753939 \h </w:instrText>
        </w:r>
        <w:r>
          <w:rPr>
            <w:noProof/>
            <w:webHidden/>
          </w:rPr>
        </w:r>
        <w:r>
          <w:rPr>
            <w:noProof/>
            <w:webHidden/>
          </w:rPr>
          <w:fldChar w:fldCharType="separate"/>
        </w:r>
        <w:r>
          <w:rPr>
            <w:noProof/>
            <w:webHidden/>
          </w:rPr>
          <w:t>18</w:t>
        </w:r>
        <w:r>
          <w:rPr>
            <w:noProof/>
            <w:webHidden/>
          </w:rPr>
          <w:fldChar w:fldCharType="end"/>
        </w:r>
      </w:hyperlink>
    </w:p>
    <w:p w14:paraId="39505E03" w14:textId="77777777" w:rsidR="00A801C9" w:rsidRDefault="00A801C9">
      <w:pPr>
        <w:pStyle w:val="Sommario2"/>
        <w:tabs>
          <w:tab w:val="left" w:pos="800"/>
          <w:tab w:val="right" w:leader="dot" w:pos="9628"/>
        </w:tabs>
        <w:rPr>
          <w:rFonts w:eastAsiaTheme="minorEastAsia" w:cstheme="minorBidi"/>
          <w:smallCaps w:val="0"/>
          <w:noProof/>
          <w:sz w:val="22"/>
          <w:szCs w:val="22"/>
        </w:rPr>
      </w:pPr>
      <w:hyperlink w:anchor="_Toc189753940" w:history="1">
        <w:r w:rsidRPr="00224111">
          <w:rPr>
            <w:rStyle w:val="Collegamentoipertestuale"/>
            <w:noProof/>
          </w:rPr>
          <w:t>3.1.</w:t>
        </w:r>
        <w:r>
          <w:rPr>
            <w:rFonts w:eastAsiaTheme="minorEastAsia" w:cstheme="minorBidi"/>
            <w:smallCaps w:val="0"/>
            <w:noProof/>
            <w:sz w:val="22"/>
            <w:szCs w:val="22"/>
          </w:rPr>
          <w:tab/>
        </w:r>
        <w:r w:rsidRPr="00224111">
          <w:rPr>
            <w:rStyle w:val="Collegamentoipertestuale"/>
            <w:noProof/>
          </w:rPr>
          <w:t>Sostegno ai progetti di internazionalizzazione delle PMI e Startup</w:t>
        </w:r>
        <w:r>
          <w:rPr>
            <w:noProof/>
            <w:webHidden/>
          </w:rPr>
          <w:tab/>
        </w:r>
        <w:r>
          <w:rPr>
            <w:noProof/>
            <w:webHidden/>
          </w:rPr>
          <w:fldChar w:fldCharType="begin"/>
        </w:r>
        <w:r>
          <w:rPr>
            <w:noProof/>
            <w:webHidden/>
          </w:rPr>
          <w:instrText xml:space="preserve"> PAGEREF _Toc189753940 \h </w:instrText>
        </w:r>
        <w:r>
          <w:rPr>
            <w:noProof/>
            <w:webHidden/>
          </w:rPr>
        </w:r>
        <w:r>
          <w:rPr>
            <w:noProof/>
            <w:webHidden/>
          </w:rPr>
          <w:fldChar w:fldCharType="separate"/>
        </w:r>
        <w:r>
          <w:rPr>
            <w:noProof/>
            <w:webHidden/>
          </w:rPr>
          <w:t>19</w:t>
        </w:r>
        <w:r>
          <w:rPr>
            <w:noProof/>
            <w:webHidden/>
          </w:rPr>
          <w:fldChar w:fldCharType="end"/>
        </w:r>
      </w:hyperlink>
    </w:p>
    <w:p w14:paraId="5B337DDE" w14:textId="77777777" w:rsidR="00A801C9" w:rsidRDefault="00A801C9">
      <w:pPr>
        <w:pStyle w:val="Sommario3"/>
        <w:tabs>
          <w:tab w:val="left" w:pos="1200"/>
          <w:tab w:val="right" w:leader="dot" w:pos="9628"/>
        </w:tabs>
        <w:rPr>
          <w:rFonts w:eastAsiaTheme="minorEastAsia" w:cstheme="minorBidi"/>
          <w:i w:val="0"/>
          <w:iCs w:val="0"/>
          <w:noProof/>
          <w:sz w:val="22"/>
          <w:szCs w:val="22"/>
        </w:rPr>
      </w:pPr>
      <w:hyperlink w:anchor="_Toc189753941" w:history="1">
        <w:r w:rsidRPr="00224111">
          <w:rPr>
            <w:rStyle w:val="Collegamentoipertestuale"/>
            <w:noProof/>
          </w:rPr>
          <w:t>3.1.1.</w:t>
        </w:r>
        <w:r>
          <w:rPr>
            <w:rFonts w:eastAsiaTheme="minorEastAsia" w:cstheme="minorBidi"/>
            <w:i w:val="0"/>
            <w:iCs w:val="0"/>
            <w:noProof/>
            <w:sz w:val="22"/>
            <w:szCs w:val="22"/>
          </w:rPr>
          <w:tab/>
        </w:r>
        <w:r w:rsidRPr="00224111">
          <w:rPr>
            <w:rStyle w:val="Collegamentoipertestuale"/>
            <w:noProof/>
          </w:rPr>
          <w:t>Modalità di determinazione delle USC e degli importi forfettari</w:t>
        </w:r>
        <w:r>
          <w:rPr>
            <w:noProof/>
            <w:webHidden/>
          </w:rPr>
          <w:tab/>
        </w:r>
        <w:r>
          <w:rPr>
            <w:noProof/>
            <w:webHidden/>
          </w:rPr>
          <w:fldChar w:fldCharType="begin"/>
        </w:r>
        <w:r>
          <w:rPr>
            <w:noProof/>
            <w:webHidden/>
          </w:rPr>
          <w:instrText xml:space="preserve"> PAGEREF _Toc189753941 \h </w:instrText>
        </w:r>
        <w:r>
          <w:rPr>
            <w:noProof/>
            <w:webHidden/>
          </w:rPr>
        </w:r>
        <w:r>
          <w:rPr>
            <w:noProof/>
            <w:webHidden/>
          </w:rPr>
          <w:fldChar w:fldCharType="separate"/>
        </w:r>
        <w:r>
          <w:rPr>
            <w:noProof/>
            <w:webHidden/>
          </w:rPr>
          <w:t>19</w:t>
        </w:r>
        <w:r>
          <w:rPr>
            <w:noProof/>
            <w:webHidden/>
          </w:rPr>
          <w:fldChar w:fldCharType="end"/>
        </w:r>
      </w:hyperlink>
    </w:p>
    <w:p w14:paraId="61709340" w14:textId="77777777" w:rsidR="00A801C9" w:rsidRDefault="00A801C9">
      <w:pPr>
        <w:pStyle w:val="Sommario3"/>
        <w:tabs>
          <w:tab w:val="left" w:pos="1200"/>
          <w:tab w:val="right" w:leader="dot" w:pos="9628"/>
        </w:tabs>
        <w:rPr>
          <w:rFonts w:eastAsiaTheme="minorEastAsia" w:cstheme="minorBidi"/>
          <w:i w:val="0"/>
          <w:iCs w:val="0"/>
          <w:noProof/>
          <w:sz w:val="22"/>
          <w:szCs w:val="22"/>
        </w:rPr>
      </w:pPr>
      <w:hyperlink w:anchor="_Toc189753942" w:history="1">
        <w:r w:rsidRPr="00224111">
          <w:rPr>
            <w:rStyle w:val="Collegamentoipertestuale"/>
            <w:noProof/>
          </w:rPr>
          <w:t>3.1.2.</w:t>
        </w:r>
        <w:r>
          <w:rPr>
            <w:rFonts w:eastAsiaTheme="minorEastAsia" w:cstheme="minorBidi"/>
            <w:i w:val="0"/>
            <w:iCs w:val="0"/>
            <w:noProof/>
            <w:sz w:val="22"/>
            <w:szCs w:val="22"/>
          </w:rPr>
          <w:tab/>
        </w:r>
        <w:r w:rsidRPr="00224111">
          <w:rPr>
            <w:rStyle w:val="Collegamentoipertestuale"/>
            <w:noProof/>
          </w:rPr>
          <w:t>Metodo per la definizione delle USC o degli importi forfettari</w:t>
        </w:r>
        <w:r>
          <w:rPr>
            <w:noProof/>
            <w:webHidden/>
          </w:rPr>
          <w:tab/>
        </w:r>
        <w:r>
          <w:rPr>
            <w:noProof/>
            <w:webHidden/>
          </w:rPr>
          <w:fldChar w:fldCharType="begin"/>
        </w:r>
        <w:r>
          <w:rPr>
            <w:noProof/>
            <w:webHidden/>
          </w:rPr>
          <w:instrText xml:space="preserve"> PAGEREF _Toc189753942 \h </w:instrText>
        </w:r>
        <w:r>
          <w:rPr>
            <w:noProof/>
            <w:webHidden/>
          </w:rPr>
        </w:r>
        <w:r>
          <w:rPr>
            <w:noProof/>
            <w:webHidden/>
          </w:rPr>
          <w:fldChar w:fldCharType="separate"/>
        </w:r>
        <w:r>
          <w:rPr>
            <w:noProof/>
            <w:webHidden/>
          </w:rPr>
          <w:t>20</w:t>
        </w:r>
        <w:r>
          <w:rPr>
            <w:noProof/>
            <w:webHidden/>
          </w:rPr>
          <w:fldChar w:fldCharType="end"/>
        </w:r>
      </w:hyperlink>
    </w:p>
    <w:p w14:paraId="36CDE3C7" w14:textId="77777777" w:rsidR="00A801C9" w:rsidRDefault="00A801C9">
      <w:pPr>
        <w:pStyle w:val="Sommario3"/>
        <w:tabs>
          <w:tab w:val="left" w:pos="1200"/>
          <w:tab w:val="right" w:leader="dot" w:pos="9628"/>
        </w:tabs>
        <w:rPr>
          <w:rFonts w:eastAsiaTheme="minorEastAsia" w:cstheme="minorBidi"/>
          <w:i w:val="0"/>
          <w:iCs w:val="0"/>
          <w:noProof/>
          <w:sz w:val="22"/>
          <w:szCs w:val="22"/>
        </w:rPr>
      </w:pPr>
      <w:hyperlink w:anchor="_Toc189753943" w:history="1">
        <w:r w:rsidRPr="00224111">
          <w:rPr>
            <w:rStyle w:val="Collegamentoipertestuale"/>
            <w:noProof/>
          </w:rPr>
          <w:t>3.1.3.</w:t>
        </w:r>
        <w:r>
          <w:rPr>
            <w:rFonts w:eastAsiaTheme="minorEastAsia" w:cstheme="minorBidi"/>
            <w:i w:val="0"/>
            <w:iCs w:val="0"/>
            <w:noProof/>
            <w:sz w:val="22"/>
            <w:szCs w:val="22"/>
          </w:rPr>
          <w:tab/>
        </w:r>
        <w:r w:rsidRPr="00224111">
          <w:rPr>
            <w:rStyle w:val="Collegamentoipertestuale"/>
            <w:noProof/>
          </w:rPr>
          <w:t>Conclusioni</w:t>
        </w:r>
        <w:r>
          <w:rPr>
            <w:noProof/>
            <w:webHidden/>
          </w:rPr>
          <w:tab/>
        </w:r>
        <w:r>
          <w:rPr>
            <w:noProof/>
            <w:webHidden/>
          </w:rPr>
          <w:fldChar w:fldCharType="begin"/>
        </w:r>
        <w:r>
          <w:rPr>
            <w:noProof/>
            <w:webHidden/>
          </w:rPr>
          <w:instrText xml:space="preserve"> PAGEREF _Toc189753943 \h </w:instrText>
        </w:r>
        <w:r>
          <w:rPr>
            <w:noProof/>
            <w:webHidden/>
          </w:rPr>
        </w:r>
        <w:r>
          <w:rPr>
            <w:noProof/>
            <w:webHidden/>
          </w:rPr>
          <w:fldChar w:fldCharType="separate"/>
        </w:r>
        <w:r>
          <w:rPr>
            <w:noProof/>
            <w:webHidden/>
          </w:rPr>
          <w:t>30</w:t>
        </w:r>
        <w:r>
          <w:rPr>
            <w:noProof/>
            <w:webHidden/>
          </w:rPr>
          <w:fldChar w:fldCharType="end"/>
        </w:r>
      </w:hyperlink>
    </w:p>
    <w:p w14:paraId="13A827DB" w14:textId="77777777" w:rsidR="00A801C9" w:rsidRDefault="00A801C9">
      <w:pPr>
        <w:pStyle w:val="Sommario1"/>
        <w:tabs>
          <w:tab w:val="left" w:pos="400"/>
          <w:tab w:val="right" w:leader="dot" w:pos="9628"/>
        </w:tabs>
        <w:rPr>
          <w:rFonts w:eastAsiaTheme="minorEastAsia" w:cstheme="minorBidi"/>
          <w:b w:val="0"/>
          <w:bCs w:val="0"/>
          <w:caps w:val="0"/>
          <w:noProof/>
          <w:sz w:val="22"/>
          <w:szCs w:val="22"/>
        </w:rPr>
      </w:pPr>
      <w:hyperlink w:anchor="_Toc189753944" w:history="1">
        <w:r w:rsidRPr="00224111">
          <w:rPr>
            <w:rStyle w:val="Collegamentoipertestuale"/>
            <w:noProof/>
          </w:rPr>
          <w:t>4.</w:t>
        </w:r>
        <w:r>
          <w:rPr>
            <w:rFonts w:eastAsiaTheme="minorEastAsia" w:cstheme="minorBidi"/>
            <w:b w:val="0"/>
            <w:bCs w:val="0"/>
            <w:caps w:val="0"/>
            <w:noProof/>
            <w:sz w:val="22"/>
            <w:szCs w:val="22"/>
          </w:rPr>
          <w:tab/>
        </w:r>
        <w:r w:rsidRPr="00224111">
          <w:rPr>
            <w:rStyle w:val="Collegamentoipertestuale"/>
            <w:noProof/>
          </w:rPr>
          <w:t>Aspetti concernenti il controllo e l’Audit</w:t>
        </w:r>
        <w:r>
          <w:rPr>
            <w:noProof/>
            <w:webHidden/>
          </w:rPr>
          <w:tab/>
        </w:r>
        <w:r>
          <w:rPr>
            <w:noProof/>
            <w:webHidden/>
          </w:rPr>
          <w:fldChar w:fldCharType="begin"/>
        </w:r>
        <w:r>
          <w:rPr>
            <w:noProof/>
            <w:webHidden/>
          </w:rPr>
          <w:instrText xml:space="preserve"> PAGEREF _Toc189753944 \h </w:instrText>
        </w:r>
        <w:r>
          <w:rPr>
            <w:noProof/>
            <w:webHidden/>
          </w:rPr>
        </w:r>
        <w:r>
          <w:rPr>
            <w:noProof/>
            <w:webHidden/>
          </w:rPr>
          <w:fldChar w:fldCharType="separate"/>
        </w:r>
        <w:r>
          <w:rPr>
            <w:noProof/>
            <w:webHidden/>
          </w:rPr>
          <w:t>31</w:t>
        </w:r>
        <w:r>
          <w:rPr>
            <w:noProof/>
            <w:webHidden/>
          </w:rPr>
          <w:fldChar w:fldCharType="end"/>
        </w:r>
      </w:hyperlink>
    </w:p>
    <w:p w14:paraId="3C2EA12F" w14:textId="60C23B80" w:rsidR="00EF74C4" w:rsidRPr="00B526F3" w:rsidRDefault="008C5B27" w:rsidP="00BB04C7">
      <w:r w:rsidRPr="00B526F3">
        <w:fldChar w:fldCharType="end"/>
      </w:r>
    </w:p>
    <w:p w14:paraId="3208BC30" w14:textId="77777777" w:rsidR="00EF74C4" w:rsidRPr="00B526F3" w:rsidRDefault="00EF74C4" w:rsidP="00BB04C7"/>
    <w:p w14:paraId="17158144" w14:textId="679BE51E" w:rsidR="00EF74C4" w:rsidRPr="00B526F3" w:rsidRDefault="00EF74C4">
      <w:pPr>
        <w:spacing w:after="160" w:line="259" w:lineRule="auto"/>
        <w:jc w:val="left"/>
      </w:pPr>
      <w:r w:rsidRPr="00B526F3">
        <w:br w:type="page"/>
      </w:r>
    </w:p>
    <w:p w14:paraId="62B1AC6D" w14:textId="77777777" w:rsidR="00EF74C4" w:rsidRPr="00B526F3" w:rsidRDefault="00EF74C4" w:rsidP="00BB04C7"/>
    <w:p w14:paraId="35B15382" w14:textId="77777777" w:rsidR="00EF74C4" w:rsidRPr="00B526F3" w:rsidRDefault="00EF74C4" w:rsidP="00BB04C7"/>
    <w:p w14:paraId="3A15C153" w14:textId="3D5A6651" w:rsidR="00180981" w:rsidRPr="00B526F3" w:rsidRDefault="00180981" w:rsidP="00180981">
      <w:pPr>
        <w:pStyle w:val="Titolo1"/>
      </w:pPr>
      <w:bookmarkStart w:id="1" w:name="_Toc148436984"/>
      <w:bookmarkStart w:id="2" w:name="_Toc189753931"/>
      <w:r w:rsidRPr="00B526F3">
        <w:t>Introduzione</w:t>
      </w:r>
      <w:bookmarkEnd w:id="1"/>
      <w:bookmarkEnd w:id="2"/>
    </w:p>
    <w:p w14:paraId="1F3340B3" w14:textId="40F9D15B" w:rsidR="00453ABF" w:rsidRPr="00B526F3" w:rsidRDefault="00453ABF" w:rsidP="000C6124">
      <w:r w:rsidRPr="00B526F3">
        <w:t>Il ricorso alla Opzioni Semplificate di Costo (OSC), per come le stesse sono disciplinate dal Reg. 1060/2021 (RDC), ha lo scopo principale di ridurre sensibilmente il carico amministrativo sia per le Amministrazioni interessate dall’attuazione dei Programmi che per i Beneficiari.</w:t>
      </w:r>
    </w:p>
    <w:p w14:paraId="155A21F1" w14:textId="09CE2E02" w:rsidR="000C6124" w:rsidRPr="00B526F3" w:rsidRDefault="00453ABF" w:rsidP="000C6124">
      <w:r w:rsidRPr="00B526F3">
        <w:t xml:space="preserve">Mediante l’utilizzo delle OSC, infatti, </w:t>
      </w:r>
      <w:r w:rsidR="000C6124" w:rsidRPr="00B526F3">
        <w:t xml:space="preserve">non è necessario </w:t>
      </w:r>
      <w:r w:rsidRPr="00B526F3">
        <w:t>ricostruire</w:t>
      </w:r>
      <w:r w:rsidR="000C6124" w:rsidRPr="00B526F3">
        <w:t xml:space="preserve">, per ogni euro di spesa cofinanziata, </w:t>
      </w:r>
      <w:r w:rsidRPr="00B526F3">
        <w:t xml:space="preserve">il quadro di riferimento sulla base di </w:t>
      </w:r>
      <w:r w:rsidR="000C6124" w:rsidRPr="00B526F3">
        <w:t>singoli documenti giustificativi</w:t>
      </w:r>
      <w:r w:rsidRPr="00B526F3">
        <w:t>. In estrema sintesi i</w:t>
      </w:r>
      <w:r w:rsidR="00902E61">
        <w:t xml:space="preserve">l </w:t>
      </w:r>
      <w:r w:rsidRPr="00B526F3">
        <w:t>ricorso alle OSC consent</w:t>
      </w:r>
      <w:r w:rsidR="00902E61">
        <w:t>e</w:t>
      </w:r>
      <w:r w:rsidRPr="00B526F3">
        <w:t xml:space="preserve"> di:</w:t>
      </w:r>
    </w:p>
    <w:p w14:paraId="5A6530CC" w14:textId="77777777" w:rsidR="000C6124" w:rsidRPr="00B526F3" w:rsidRDefault="000C6124" w:rsidP="000C6124"/>
    <w:p w14:paraId="7077E93A" w14:textId="77777777" w:rsidR="000C6124" w:rsidRPr="00B526F3" w:rsidRDefault="000C6124">
      <w:pPr>
        <w:pStyle w:val="Paragrafoelenco"/>
        <w:numPr>
          <w:ilvl w:val="0"/>
          <w:numId w:val="5"/>
        </w:numPr>
      </w:pPr>
      <w:r w:rsidRPr="00B526F3">
        <w:t>Ridurre notevolmente gli oneri e i tempi amministrativi</w:t>
      </w:r>
    </w:p>
    <w:p w14:paraId="433B42DE" w14:textId="77777777" w:rsidR="000C6124" w:rsidRPr="00B526F3" w:rsidRDefault="000C6124">
      <w:pPr>
        <w:pStyle w:val="Paragrafoelenco"/>
        <w:numPr>
          <w:ilvl w:val="0"/>
          <w:numId w:val="5"/>
        </w:numPr>
      </w:pPr>
      <w:r w:rsidRPr="00B526F3">
        <w:t>Focalizzarsi maggiormente sul raggiungimento degli obiettivi strategici piuttosto che nella verifica dei documenti contabili</w:t>
      </w:r>
    </w:p>
    <w:p w14:paraId="53810E99" w14:textId="61B1C393" w:rsidR="000C6124" w:rsidRPr="00B526F3" w:rsidRDefault="000C6124">
      <w:pPr>
        <w:pStyle w:val="Paragrafoelenco"/>
        <w:numPr>
          <w:ilvl w:val="0"/>
          <w:numId w:val="5"/>
        </w:numPr>
      </w:pPr>
      <w:r w:rsidRPr="00B526F3">
        <w:t>Facilitare l’accesso dei beneficiari di minore entità ai Fondi</w:t>
      </w:r>
    </w:p>
    <w:p w14:paraId="49F33E82" w14:textId="1919D628" w:rsidR="00180981" w:rsidRPr="00B526F3" w:rsidRDefault="000C6124">
      <w:pPr>
        <w:pStyle w:val="Paragrafoelenco"/>
        <w:numPr>
          <w:ilvl w:val="0"/>
          <w:numId w:val="5"/>
        </w:numPr>
      </w:pPr>
      <w:r w:rsidRPr="00B526F3">
        <w:t>Contenere il tasso di errore e di rettifica</w:t>
      </w:r>
    </w:p>
    <w:p w14:paraId="694BAFFE" w14:textId="77777777" w:rsidR="000C6124" w:rsidRPr="00B526F3" w:rsidRDefault="000C6124" w:rsidP="000C6124"/>
    <w:p w14:paraId="20627E9E" w14:textId="5C21A6CF" w:rsidR="00453ABF" w:rsidRPr="00B526F3" w:rsidRDefault="00453ABF" w:rsidP="00453ABF">
      <w:pPr>
        <w:spacing w:after="160" w:line="259" w:lineRule="auto"/>
        <w:jc w:val="left"/>
      </w:pPr>
      <w:r w:rsidRPr="00B526F3">
        <w:t xml:space="preserve">L’articolazione delle disposizioni normative in materia riflette in maniera puntuale </w:t>
      </w:r>
      <w:r w:rsidR="008F5918">
        <w:t xml:space="preserve">ciò che è indicato </w:t>
      </w:r>
      <w:r w:rsidRPr="00B526F3">
        <w:t>al Considerando 42 del RDC:</w:t>
      </w:r>
    </w:p>
    <w:p w14:paraId="7DA02CF1" w14:textId="38364678" w:rsidR="00453ABF" w:rsidRPr="00082B5A" w:rsidRDefault="00453ABF" w:rsidP="00453ABF">
      <w:pPr>
        <w:spacing w:after="160" w:line="259" w:lineRule="auto"/>
        <w:rPr>
          <w:i/>
          <w:iCs/>
        </w:rPr>
      </w:pPr>
      <w:r w:rsidRPr="00082B5A">
        <w:rPr>
          <w:i/>
          <w:iCs/>
        </w:rPr>
        <w:t xml:space="preserve">“Per quanto riguarda le sovvenzioni fornite ai beneficiari, </w:t>
      </w:r>
      <w:r w:rsidRPr="00082B5A">
        <w:rPr>
          <w:b/>
          <w:bCs/>
          <w:i/>
          <w:iCs/>
        </w:rPr>
        <w:t>gli Stati membri dovrebbero fare ricorso in misura maggiore alle opzioni semplificate in materia di costi</w:t>
      </w:r>
      <w:r w:rsidRPr="00082B5A">
        <w:rPr>
          <w:i/>
          <w:iCs/>
        </w:rPr>
        <w:t xml:space="preserve">. La </w:t>
      </w:r>
      <w:r w:rsidRPr="00082B5A">
        <w:rPr>
          <w:b/>
          <w:bCs/>
          <w:i/>
          <w:iCs/>
        </w:rPr>
        <w:t>soglia per il ricorso obbligatorio alle opzioni semplificate in materia di costi dovrebbe essere messa in relazione ai costi totali dell’operazione</w:t>
      </w:r>
      <w:r w:rsidRPr="00082B5A">
        <w:rPr>
          <w:i/>
          <w:iCs/>
        </w:rPr>
        <w:t xml:space="preserve">, al fine di garantire lo stesso trattamento a tutte le operazioni al di sotto della soglia, a prescindere dal fatto che il sostegno sia pubblico o privato. Se un’autorità di gestione intende proporre il ricorso a un’opzione semplificata in materia di costi in un invito a presentare proposte, dovrebbe essere possibile </w:t>
      </w:r>
      <w:r w:rsidRPr="00082B5A">
        <w:rPr>
          <w:b/>
          <w:bCs/>
          <w:i/>
          <w:iCs/>
        </w:rPr>
        <w:t>consultare il comitato di sorveglianza</w:t>
      </w:r>
      <w:r w:rsidRPr="00082B5A">
        <w:rPr>
          <w:i/>
          <w:iCs/>
        </w:rPr>
        <w:t xml:space="preserve">. Gli </w:t>
      </w:r>
      <w:r w:rsidRPr="00082B5A">
        <w:rPr>
          <w:b/>
          <w:bCs/>
          <w:i/>
          <w:iCs/>
        </w:rPr>
        <w:t>importi e i tassi stabiliti dagli Stati membri devono essere un indicatore attendibile dei costi reali</w:t>
      </w:r>
      <w:r w:rsidRPr="00082B5A">
        <w:rPr>
          <w:i/>
          <w:iCs/>
        </w:rPr>
        <w:t xml:space="preserve">. Gli </w:t>
      </w:r>
      <w:r w:rsidRPr="00082B5A">
        <w:rPr>
          <w:b/>
          <w:bCs/>
          <w:i/>
          <w:iCs/>
        </w:rPr>
        <w:t>adeguamenti periodici</w:t>
      </w:r>
      <w:r w:rsidRPr="00082B5A">
        <w:rPr>
          <w:i/>
          <w:iCs/>
        </w:rPr>
        <w:t xml:space="preserve"> costituiscono una buona prassi nel contesto dell’attuazione del programma pluriennale per tener conto dei fattori che incidono sui tassi e sugli importi. Al fine di facilitare la diffusione delle opzioni semplificate in materia di costi, il presente regolamento dovrebbe inoltre prevedere </w:t>
      </w:r>
      <w:r w:rsidRPr="00082B5A">
        <w:rPr>
          <w:b/>
          <w:bCs/>
          <w:i/>
          <w:iCs/>
        </w:rPr>
        <w:t>metodi e tassi cui gli Stati membri possano fare ricorso senza essere tenuti a eseguire un calcolo o definire una metodologia</w:t>
      </w:r>
      <w:r w:rsidRPr="00082B5A">
        <w:rPr>
          <w:i/>
          <w:iCs/>
        </w:rPr>
        <w:t>”</w:t>
      </w:r>
      <w:r w:rsidR="00B05E60">
        <w:rPr>
          <w:i/>
          <w:iCs/>
        </w:rPr>
        <w:t>.</w:t>
      </w:r>
    </w:p>
    <w:p w14:paraId="5C24669B" w14:textId="349F7EF9" w:rsidR="00453ABF" w:rsidRPr="00B526F3" w:rsidRDefault="00453ABF" w:rsidP="000C6124">
      <w:r w:rsidRPr="00B526F3">
        <w:t xml:space="preserve">Al di là delle indicazioni fornite dal Considerando di cui sopra (si veda quanto al successivo paragrafo per la loro traduzione in disposizioni normative), ciò che preme sottolineare è l’orientamento della Commissione Europea (CE) </w:t>
      </w:r>
      <w:r w:rsidR="00903C19" w:rsidRPr="00B526F3">
        <w:t>ad un più ampio e sistematico uso di tale modalità di rimborso ai Beneficiari.</w:t>
      </w:r>
      <w:r w:rsidR="008D10D0">
        <w:t xml:space="preserve"> </w:t>
      </w:r>
      <w:r w:rsidR="004A0F19">
        <w:t>Tale orientamento è condiviso dalla</w:t>
      </w:r>
      <w:r w:rsidR="008D10D0">
        <w:t xml:space="preserve"> Corte dei Conti Europea</w:t>
      </w:r>
      <w:r w:rsidR="00A25407">
        <w:t xml:space="preserve">, </w:t>
      </w:r>
      <w:r w:rsidR="008D10D0">
        <w:t xml:space="preserve"> che</w:t>
      </w:r>
      <w:r w:rsidR="0096095C">
        <w:t>, a più riprese,</w:t>
      </w:r>
      <w:r w:rsidR="008D10D0">
        <w:t xml:space="preserve"> ha </w:t>
      </w:r>
      <w:r w:rsidR="0096095C">
        <w:t>sottolineato come</w:t>
      </w:r>
      <w:r w:rsidR="008D10D0">
        <w:t xml:space="preserve"> il ricorso a tali opzioni riduce il tasso di errore e garantisce una migliore qualità della spesa dei fondi.</w:t>
      </w:r>
    </w:p>
    <w:p w14:paraId="2797147B" w14:textId="77777777" w:rsidR="00453ABF" w:rsidRPr="00B526F3" w:rsidRDefault="00453ABF" w:rsidP="000C6124"/>
    <w:p w14:paraId="50037062" w14:textId="6A644B82" w:rsidR="007A0651" w:rsidRPr="00B526F3" w:rsidRDefault="00903C19" w:rsidP="000C6124">
      <w:r w:rsidRPr="00B526F3">
        <w:rPr>
          <w:b/>
          <w:bCs/>
        </w:rPr>
        <w:t>La modalità di rimborso de</w:t>
      </w:r>
      <w:r w:rsidR="007A0651" w:rsidRPr="00B526F3">
        <w:rPr>
          <w:b/>
          <w:bCs/>
        </w:rPr>
        <w:t>i costi ammissibili</w:t>
      </w:r>
      <w:r w:rsidRPr="00B526F3">
        <w:rPr>
          <w:b/>
          <w:bCs/>
        </w:rPr>
        <w:t xml:space="preserve"> di un’operazione, nel caso di applicazione delle OSC</w:t>
      </w:r>
      <w:r w:rsidRPr="00B526F3">
        <w:t xml:space="preserve">, si fonda sulla individuazione dei costi sulla base di un </w:t>
      </w:r>
      <w:r w:rsidR="007A0651" w:rsidRPr="00B526F3">
        <w:t>calcol</w:t>
      </w:r>
      <w:r w:rsidRPr="00B526F3">
        <w:t xml:space="preserve">o </w:t>
      </w:r>
      <w:r w:rsidR="007A0651" w:rsidRPr="00B526F3">
        <w:t>conform</w:t>
      </w:r>
      <w:r w:rsidRPr="00B526F3">
        <w:t>e</w:t>
      </w:r>
      <w:r w:rsidR="007A0651" w:rsidRPr="00B526F3">
        <w:t xml:space="preserve"> a un metodo predefinito che si basa </w:t>
      </w:r>
      <w:r w:rsidR="007A0651" w:rsidRPr="00B526F3">
        <w:rPr>
          <w:b/>
          <w:bCs/>
        </w:rPr>
        <w:t>sulle realizzazioni, sui risultati o su altri costi chiaramente individuati in anticipo con riferimento a un importo per unità o mediante applicazione di una percentuale</w:t>
      </w:r>
      <w:r w:rsidRPr="00B526F3">
        <w:t>.</w:t>
      </w:r>
      <w:r w:rsidR="003C7719" w:rsidRPr="00B526F3">
        <w:t xml:space="preserve"> Pertanto, la definizione di OSC deve avere luogo prima di avviare il processo di selezione e deve pertanto essere puntualmente </w:t>
      </w:r>
      <w:r w:rsidR="003C7719" w:rsidRPr="00B526F3">
        <w:rPr>
          <w:b/>
          <w:bCs/>
        </w:rPr>
        <w:t>indicata nel documento che specifica le condizioni per il sostegno a favore del beneficiario</w:t>
      </w:r>
      <w:r w:rsidR="003C7719" w:rsidRPr="00B526F3">
        <w:t>.</w:t>
      </w:r>
    </w:p>
    <w:p w14:paraId="77810E17" w14:textId="77777777" w:rsidR="007A0651" w:rsidRPr="00B526F3" w:rsidRDefault="007A0651" w:rsidP="000C6124"/>
    <w:p w14:paraId="01CBA419" w14:textId="65FC7DD3" w:rsidR="000C6124" w:rsidRPr="00B526F3" w:rsidRDefault="00A25989" w:rsidP="000C6124">
      <w:r w:rsidRPr="00B526F3">
        <w:t>È comunque indispensabile che, a</w:t>
      </w:r>
      <w:r w:rsidR="000C6124" w:rsidRPr="00B526F3">
        <w:t xml:space="preserve">l fine di garantire il rispetto dei </w:t>
      </w:r>
      <w:r w:rsidR="000C6124" w:rsidRPr="00B526F3">
        <w:rPr>
          <w:b/>
          <w:bCs/>
        </w:rPr>
        <w:t>principi di trasparenza e di parità di trattamento</w:t>
      </w:r>
      <w:r w:rsidR="000C6124" w:rsidRPr="00B526F3">
        <w:t xml:space="preserve"> dei beneficiari, l’ambito di applicazione delle opzioni semplificate in materia di costi da applicare, ossia la categoria di progetti e attività per i quali esse saranno disponibili, dovrebbe essere specificato e pubblicato </w:t>
      </w:r>
      <w:r w:rsidRPr="00B526F3">
        <w:t>nel contesto del dispositivo che disciplina l’accesso alle risorse del PR.</w:t>
      </w:r>
    </w:p>
    <w:p w14:paraId="7F415F23" w14:textId="77777777" w:rsidR="000C6124" w:rsidRPr="00B526F3" w:rsidRDefault="000C6124">
      <w:pPr>
        <w:spacing w:after="160" w:line="259" w:lineRule="auto"/>
        <w:jc w:val="left"/>
      </w:pPr>
    </w:p>
    <w:p w14:paraId="31F18359" w14:textId="77777777" w:rsidR="000C6124" w:rsidRPr="00B526F3" w:rsidRDefault="000C6124">
      <w:pPr>
        <w:spacing w:after="160" w:line="259" w:lineRule="auto"/>
        <w:jc w:val="left"/>
      </w:pPr>
    </w:p>
    <w:p w14:paraId="54CB934A" w14:textId="1E4728DA" w:rsidR="00EF74C4" w:rsidRPr="00B526F3" w:rsidRDefault="00EF74C4" w:rsidP="00EF74C4">
      <w:pPr>
        <w:pStyle w:val="Titolo1"/>
      </w:pPr>
      <w:r w:rsidRPr="00B526F3">
        <w:lastRenderedPageBreak/>
        <w:fldChar w:fldCharType="begin"/>
      </w:r>
      <w:r w:rsidRPr="00B526F3">
        <w:instrText xml:space="preserve"> AUTONUMLGL   </w:instrText>
      </w:r>
      <w:bookmarkStart w:id="3" w:name="_Toc189753932"/>
      <w:r w:rsidRPr="00B526F3">
        <w:fldChar w:fldCharType="end"/>
      </w:r>
      <w:r w:rsidRPr="00B526F3">
        <w:tab/>
        <w:t>Quadro normativo per la programmazione 2021-2027</w:t>
      </w:r>
      <w:bookmarkEnd w:id="3"/>
    </w:p>
    <w:p w14:paraId="6E7ED322" w14:textId="65D6D6E5" w:rsidR="00D174DE" w:rsidRPr="00B526F3" w:rsidRDefault="00D174DE" w:rsidP="00D174DE">
      <w:pPr>
        <w:spacing w:line="259" w:lineRule="auto"/>
      </w:pPr>
      <w:r w:rsidRPr="00B526F3">
        <w:t xml:space="preserve">Le Opzioni Semplificate di Costo (OSC) sono disciplinate </w:t>
      </w:r>
      <w:r w:rsidR="00AA6A52">
        <w:t>nel</w:t>
      </w:r>
      <w:r w:rsidRPr="00B526F3">
        <w:t xml:space="preserve">le disposizioni </w:t>
      </w:r>
    </w:p>
    <w:p w14:paraId="1276A183" w14:textId="3D2832C5" w:rsidR="00D174DE" w:rsidRPr="00B526F3" w:rsidRDefault="00D174DE">
      <w:pPr>
        <w:pStyle w:val="Paragrafoelenco"/>
        <w:numPr>
          <w:ilvl w:val="0"/>
          <w:numId w:val="1"/>
        </w:numPr>
        <w:spacing w:before="60" w:after="60" w:line="259" w:lineRule="auto"/>
      </w:pPr>
      <w:r w:rsidRPr="00B526F3">
        <w:t>di cui all’Art. 53</w:t>
      </w:r>
      <w:r w:rsidR="00A25989" w:rsidRPr="00B526F3">
        <w:t xml:space="preserve"> (</w:t>
      </w:r>
      <w:r w:rsidR="00A25989" w:rsidRPr="00B526F3">
        <w:rPr>
          <w:i/>
          <w:iCs/>
        </w:rPr>
        <w:t>Forme di sovvenzioni</w:t>
      </w:r>
      <w:r w:rsidR="00A25989" w:rsidRPr="00B526F3">
        <w:t>)</w:t>
      </w:r>
      <w:r w:rsidRPr="00B526F3">
        <w:t xml:space="preserve"> par. 1 lettere da b) a f), par. 2 e 3 RDC,  </w:t>
      </w:r>
    </w:p>
    <w:p w14:paraId="6C1ED044" w14:textId="26D16A8B" w:rsidR="00D174DE" w:rsidRPr="00B526F3" w:rsidRDefault="00D174DE">
      <w:pPr>
        <w:pStyle w:val="Paragrafoelenco"/>
        <w:numPr>
          <w:ilvl w:val="0"/>
          <w:numId w:val="1"/>
        </w:numPr>
        <w:spacing w:before="60" w:after="60" w:line="259" w:lineRule="auto"/>
      </w:pPr>
      <w:r w:rsidRPr="00B526F3">
        <w:t xml:space="preserve">e quelle di cui agli Art. 54, 55, 56 RDC </w:t>
      </w:r>
      <w:r w:rsidR="00A25989" w:rsidRPr="00B526F3">
        <w:t>– è il caso, prevalentemente, di</w:t>
      </w:r>
      <w:r w:rsidRPr="00B526F3">
        <w:t xml:space="preserve"> OSC che comprendono soluzioni che non richiedono l’esecuzione di un calcolo per determinare il tasso applicabile.</w:t>
      </w:r>
    </w:p>
    <w:p w14:paraId="20B7046E" w14:textId="77777777" w:rsidR="00B05E60" w:rsidRDefault="00B05E60" w:rsidP="00D174DE"/>
    <w:p w14:paraId="5B335409" w14:textId="7FB1187E" w:rsidR="00B05E60" w:rsidRDefault="00B05E60" w:rsidP="00B05E60">
      <w:r>
        <w:t xml:space="preserve">La Commissione europea con la Comunicazione </w:t>
      </w:r>
      <w:r w:rsidR="0096095C" w:rsidRPr="0096095C">
        <w:t>C/2024/7467</w:t>
      </w:r>
      <w:r w:rsidR="0096095C">
        <w:rPr>
          <w:rStyle w:val="Rimandonotaapidipagina"/>
        </w:rPr>
        <w:footnoteReference w:id="1"/>
      </w:r>
      <w:r>
        <w:t xml:space="preserve">, recante </w:t>
      </w:r>
      <w:r>
        <w:rPr>
          <w:i/>
          <w:iCs/>
        </w:rPr>
        <w:t>“</w:t>
      </w:r>
      <w:r w:rsidR="0096095C" w:rsidRPr="0096095C">
        <w:rPr>
          <w:i/>
          <w:iCs/>
        </w:rPr>
        <w:t>Orientamenti sull'uso delle opzioni semplificate in materia di costi nell'ambito dei fondi disciplinati dal regolamento (UE) 2021/1060 (regolamento recante disposizioni comuni)</w:t>
      </w:r>
      <w:r w:rsidR="0096095C">
        <w:rPr>
          <w:i/>
          <w:iCs/>
        </w:rPr>
        <w:t>” (d’ora in avanti, anche la Comunicazione)</w:t>
      </w:r>
      <w:r>
        <w:rPr>
          <w:i/>
          <w:iCs/>
        </w:rPr>
        <w:t xml:space="preserve">, </w:t>
      </w:r>
      <w:r>
        <w:t>ha inteso fornire agli Stati membri una guida all’utilizzo delle OSC.</w:t>
      </w:r>
    </w:p>
    <w:p w14:paraId="5B2BBCF4" w14:textId="77777777" w:rsidR="00B05E60" w:rsidRDefault="00B05E60" w:rsidP="00B05E60"/>
    <w:p w14:paraId="37FCB4C2" w14:textId="77777777" w:rsidR="00B05E60" w:rsidRDefault="00B05E60" w:rsidP="00B05E60">
      <w:r>
        <w:t>Nello stesso documento, la Commissione stabilisce che:</w:t>
      </w:r>
    </w:p>
    <w:p w14:paraId="74AF4154" w14:textId="77777777" w:rsidR="00B05E60" w:rsidRDefault="00B05E60" w:rsidP="00B05E60"/>
    <w:p w14:paraId="026A1EF8" w14:textId="67C4DCF9" w:rsidR="00B05E60" w:rsidRPr="00BC12A2" w:rsidRDefault="00B05E60" w:rsidP="00B05E60">
      <w:pPr>
        <w:pBdr>
          <w:top w:val="single" w:sz="4" w:space="1" w:color="auto"/>
          <w:left w:val="single" w:sz="4" w:space="4" w:color="auto"/>
          <w:bottom w:val="single" w:sz="4" w:space="1" w:color="auto"/>
          <w:right w:val="single" w:sz="4" w:space="4" w:color="auto"/>
          <w:between w:val="single" w:sz="4" w:space="1" w:color="auto"/>
          <w:bar w:val="single" w:sz="4" w:color="auto"/>
        </w:pBdr>
        <w:rPr>
          <w:i/>
          <w:iCs/>
        </w:rPr>
      </w:pPr>
      <w:r w:rsidRPr="00BC12A2">
        <w:rPr>
          <w:i/>
          <w:iCs/>
        </w:rPr>
        <w:t>“</w:t>
      </w:r>
      <w:r w:rsidR="0096095C" w:rsidRPr="0096095C">
        <w:rPr>
          <w:i/>
          <w:iCs/>
        </w:rPr>
        <w:t>In linea con l’articolo 73, paragrafo 3, RDC e con l’articolo 22, paragrafo 6, del regolamento Interreg per i programmi Interreg, il metodo da applicare per determinare i costi dell’operazione e le condizioni di erogazione del sostegno devono essere inclusi al più tardi nel documento che specifica le condizioni per il sostegno all’operazione. I metodi e le condizioni pertinenti potrebbero essere integrati nelle norme del programma o negli inviti a presentare proposte</w:t>
      </w:r>
      <w:r w:rsidRPr="00A9035C">
        <w:rPr>
          <w:i/>
          <w:iCs/>
        </w:rPr>
        <w:t>”</w:t>
      </w:r>
      <w:r>
        <w:rPr>
          <w:rStyle w:val="Rimandonotaapidipagina"/>
          <w:i/>
          <w:iCs/>
        </w:rPr>
        <w:footnoteReference w:id="2"/>
      </w:r>
      <w:r w:rsidRPr="00A9035C">
        <w:rPr>
          <w:i/>
          <w:iCs/>
        </w:rPr>
        <w:t>.</w:t>
      </w:r>
    </w:p>
    <w:p w14:paraId="487B1E7A" w14:textId="77777777" w:rsidR="00B05E60" w:rsidRDefault="00B05E60" w:rsidP="00D174DE"/>
    <w:p w14:paraId="7528AAF3" w14:textId="25E36C1B" w:rsidR="00D174DE" w:rsidRPr="00B526F3" w:rsidRDefault="00D174DE" w:rsidP="00D174DE">
      <w:r w:rsidRPr="00B526F3">
        <w:t xml:space="preserve">La definizione e individuazione di una OSC, nel caso di </w:t>
      </w:r>
      <w:r w:rsidRPr="00B526F3">
        <w:rPr>
          <w:b/>
          <w:bCs/>
          <w:u w:val="single"/>
        </w:rPr>
        <w:t>sovvenzioni</w:t>
      </w:r>
      <w:r w:rsidRPr="00B526F3">
        <w:rPr>
          <w:b/>
          <w:bCs/>
        </w:rPr>
        <w:t xml:space="preserve"> nelle forme di cui alle lettere b), c) e d) del paragrafo 1 dell’Art. 53</w:t>
      </w:r>
      <w:r w:rsidRPr="00B526F3">
        <w:t xml:space="preserve">, richiede che le stesse siano stabilite, sulla base di un </w:t>
      </w:r>
      <w:r w:rsidRPr="00B526F3">
        <w:rPr>
          <w:b/>
          <w:bCs/>
        </w:rPr>
        <w:t>metodo predefinito</w:t>
      </w:r>
      <w:r w:rsidRPr="00B526F3">
        <w:t>, secondo una delle seguenti modalità:</w:t>
      </w:r>
    </w:p>
    <w:p w14:paraId="34331BFF" w14:textId="77777777" w:rsidR="00D174DE" w:rsidRPr="00B526F3" w:rsidRDefault="00D174DE">
      <w:pPr>
        <w:pStyle w:val="Paragrafoelenco"/>
        <w:numPr>
          <w:ilvl w:val="0"/>
          <w:numId w:val="3"/>
        </w:numPr>
        <w:tabs>
          <w:tab w:val="left" w:pos="993"/>
        </w:tabs>
        <w:spacing w:before="60" w:after="60"/>
        <w:ind w:left="993" w:hanging="284"/>
      </w:pPr>
      <w:r w:rsidRPr="00B526F3">
        <w:t xml:space="preserve">un </w:t>
      </w:r>
      <w:r w:rsidRPr="00B526F3">
        <w:rPr>
          <w:u w:val="single"/>
        </w:rPr>
        <w:t>metodo di calcolo giusto, equo e verificabile</w:t>
      </w:r>
      <w:r w:rsidRPr="00B526F3">
        <w:t>, basato:</w:t>
      </w:r>
    </w:p>
    <w:p w14:paraId="27C5D8E2" w14:textId="77777777" w:rsidR="00D174DE" w:rsidRPr="00B526F3" w:rsidRDefault="00D174DE">
      <w:pPr>
        <w:pStyle w:val="Paragrafoelenco"/>
        <w:numPr>
          <w:ilvl w:val="1"/>
          <w:numId w:val="2"/>
        </w:numPr>
        <w:tabs>
          <w:tab w:val="left" w:pos="1418"/>
        </w:tabs>
        <w:spacing w:before="60" w:after="60"/>
        <w:ind w:left="1418" w:hanging="425"/>
      </w:pPr>
      <w:r w:rsidRPr="00B526F3">
        <w:t>su dati statistici, altre informazioni obiettive o valutazioni di esperti;</w:t>
      </w:r>
    </w:p>
    <w:p w14:paraId="6C1E285F" w14:textId="77777777" w:rsidR="00D174DE" w:rsidRPr="00B526F3" w:rsidRDefault="00D174DE">
      <w:pPr>
        <w:pStyle w:val="Paragrafoelenco"/>
        <w:numPr>
          <w:ilvl w:val="1"/>
          <w:numId w:val="2"/>
        </w:numPr>
        <w:tabs>
          <w:tab w:val="left" w:pos="1418"/>
        </w:tabs>
        <w:spacing w:before="60" w:after="60"/>
        <w:ind w:left="1418" w:hanging="425"/>
      </w:pPr>
      <w:r w:rsidRPr="00B526F3">
        <w:t>su dati storici verificati dei singoli beneficiari;</w:t>
      </w:r>
    </w:p>
    <w:p w14:paraId="5BFFAF48" w14:textId="77777777" w:rsidR="00D174DE" w:rsidRPr="00B526F3" w:rsidRDefault="00D174DE">
      <w:pPr>
        <w:pStyle w:val="Paragrafoelenco"/>
        <w:numPr>
          <w:ilvl w:val="1"/>
          <w:numId w:val="2"/>
        </w:numPr>
        <w:tabs>
          <w:tab w:val="left" w:pos="1418"/>
        </w:tabs>
        <w:spacing w:before="60" w:after="60"/>
        <w:ind w:left="1418" w:hanging="425"/>
      </w:pPr>
      <w:r w:rsidRPr="00B526F3">
        <w:t>sull’applicazione delle normali prassi di contabilità dei costi dei singoli beneficiari;</w:t>
      </w:r>
    </w:p>
    <w:p w14:paraId="7AF45736" w14:textId="77777777" w:rsidR="00D174DE" w:rsidRPr="00B526F3" w:rsidRDefault="00D174DE">
      <w:pPr>
        <w:pStyle w:val="Paragrafoelenco"/>
        <w:numPr>
          <w:ilvl w:val="0"/>
          <w:numId w:val="3"/>
        </w:numPr>
        <w:tabs>
          <w:tab w:val="left" w:pos="993"/>
        </w:tabs>
        <w:spacing w:before="60" w:after="60"/>
        <w:ind w:left="993" w:hanging="284"/>
      </w:pPr>
      <w:r w:rsidRPr="00B526F3">
        <w:rPr>
          <w:u w:val="single"/>
        </w:rPr>
        <w:t>progetti di bilancio</w:t>
      </w:r>
      <w:r w:rsidRPr="00B526F3">
        <w:t xml:space="preserve"> redatti caso per caso e approvati ex ante dall’organismo che seleziona l’operazione, ove il costo totale dell’operazione non superi 200.000 euro;</w:t>
      </w:r>
    </w:p>
    <w:p w14:paraId="0AC2AEB4" w14:textId="77777777" w:rsidR="00D174DE" w:rsidRPr="00B526F3" w:rsidRDefault="00D174DE">
      <w:pPr>
        <w:pStyle w:val="Paragrafoelenco"/>
        <w:numPr>
          <w:ilvl w:val="0"/>
          <w:numId w:val="3"/>
        </w:numPr>
        <w:tabs>
          <w:tab w:val="left" w:pos="993"/>
        </w:tabs>
        <w:spacing w:before="60" w:after="60"/>
        <w:ind w:left="993" w:hanging="284"/>
      </w:pPr>
      <w:r w:rsidRPr="00B526F3">
        <w:t xml:space="preserve">conformemente alle </w:t>
      </w:r>
      <w:r w:rsidRPr="00B526F3">
        <w:rPr>
          <w:u w:val="single"/>
        </w:rPr>
        <w:t>norme di applicazione</w:t>
      </w:r>
      <w:r w:rsidRPr="00B526F3">
        <w:t xml:space="preserve"> dei corrispondenti costi unitari, somme forfettarie e tassi forfettari </w:t>
      </w:r>
      <w:r w:rsidRPr="00B526F3">
        <w:rPr>
          <w:u w:val="single"/>
        </w:rPr>
        <w:t>applicabili nelle politiche dell’Unione</w:t>
      </w:r>
      <w:r w:rsidRPr="00B526F3">
        <w:t xml:space="preserve"> per tipologie analoghe di operazioni;</w:t>
      </w:r>
    </w:p>
    <w:p w14:paraId="69B4DB12" w14:textId="77777777" w:rsidR="00D174DE" w:rsidRPr="00B526F3" w:rsidRDefault="00D174DE">
      <w:pPr>
        <w:pStyle w:val="Paragrafoelenco"/>
        <w:numPr>
          <w:ilvl w:val="0"/>
          <w:numId w:val="3"/>
        </w:numPr>
        <w:tabs>
          <w:tab w:val="left" w:pos="993"/>
        </w:tabs>
        <w:spacing w:before="60" w:after="60"/>
        <w:ind w:left="993" w:hanging="284"/>
      </w:pPr>
      <w:r w:rsidRPr="00B526F3">
        <w:t xml:space="preserve">conformemente alle </w:t>
      </w:r>
      <w:r w:rsidRPr="00B526F3">
        <w:rPr>
          <w:u w:val="single"/>
        </w:rPr>
        <w:t>norme di applicazione</w:t>
      </w:r>
      <w:r w:rsidRPr="00B526F3">
        <w:t xml:space="preserve"> dei corrispondenti costi unitari, somme forfettarie e tassi forfettari </w:t>
      </w:r>
      <w:r w:rsidRPr="00B526F3">
        <w:rPr>
          <w:u w:val="single"/>
        </w:rPr>
        <w:t>applicati</w:t>
      </w:r>
      <w:r w:rsidRPr="00B526F3">
        <w:t xml:space="preserve"> in meccanismi di sovvenzione finanziati totalmente </w:t>
      </w:r>
      <w:r w:rsidRPr="00B526F3">
        <w:rPr>
          <w:u w:val="single"/>
        </w:rPr>
        <w:t>dallo Stato membro</w:t>
      </w:r>
      <w:r w:rsidRPr="00B526F3">
        <w:t xml:space="preserve"> per tipologie analoghe di operazioni;</w:t>
      </w:r>
    </w:p>
    <w:p w14:paraId="5A453DC5" w14:textId="77777777" w:rsidR="00D174DE" w:rsidRPr="00B526F3" w:rsidRDefault="00D174DE">
      <w:pPr>
        <w:pStyle w:val="Paragrafoelenco"/>
        <w:numPr>
          <w:ilvl w:val="0"/>
          <w:numId w:val="3"/>
        </w:numPr>
        <w:tabs>
          <w:tab w:val="left" w:pos="993"/>
        </w:tabs>
        <w:spacing w:before="60" w:after="60"/>
        <w:ind w:left="993" w:hanging="284"/>
      </w:pPr>
      <w:r w:rsidRPr="00B526F3">
        <w:rPr>
          <w:u w:val="single"/>
        </w:rPr>
        <w:t>tassi forfettari e metodi specifici previsti dal RDC o dai regolamenti specifici</w:t>
      </w:r>
      <w:r w:rsidRPr="00B526F3">
        <w:t xml:space="preserve"> relativi a ciascun fondo o stabiliti sulla base degli stessi.</w:t>
      </w:r>
    </w:p>
    <w:p w14:paraId="2D5F8E8D" w14:textId="77777777" w:rsidR="00D174DE" w:rsidRPr="00B526F3" w:rsidRDefault="00D174DE" w:rsidP="00D174DE">
      <w:pPr>
        <w:tabs>
          <w:tab w:val="left" w:pos="993"/>
        </w:tabs>
      </w:pPr>
    </w:p>
    <w:p w14:paraId="45EC84D9" w14:textId="0205C7D9" w:rsidR="00D174DE" w:rsidRPr="00B526F3" w:rsidRDefault="00D174DE" w:rsidP="00D174DE">
      <w:pPr>
        <w:spacing w:line="259" w:lineRule="auto"/>
      </w:pPr>
      <w:r w:rsidRPr="00B526F3">
        <w:t>L’</w:t>
      </w:r>
      <w:r w:rsidRPr="00B526F3">
        <w:rPr>
          <w:b/>
          <w:bCs/>
        </w:rPr>
        <w:t>Art. 54 RDC</w:t>
      </w:r>
      <w:r w:rsidRPr="00B526F3">
        <w:t xml:space="preserve">, </w:t>
      </w:r>
      <w:r w:rsidRPr="00B526F3">
        <w:rPr>
          <w:i/>
          <w:iCs/>
        </w:rPr>
        <w:t>Finanziamento a tasso forfettario dei costi indiretti</w:t>
      </w:r>
      <w:r w:rsidR="001A2EC7" w:rsidRPr="00B526F3">
        <w:rPr>
          <w:rStyle w:val="Rimandonotaapidipagina"/>
          <w:i/>
          <w:iCs/>
        </w:rPr>
        <w:footnoteReference w:id="3"/>
      </w:r>
      <w:r w:rsidRPr="00B526F3">
        <w:rPr>
          <w:i/>
          <w:iCs/>
        </w:rPr>
        <w:t xml:space="preserve"> in materia di sovvenzioni</w:t>
      </w:r>
      <w:r w:rsidRPr="00B526F3">
        <w:t xml:space="preserve">, stabilisce due </w:t>
      </w:r>
      <w:r w:rsidRPr="00B526F3">
        <w:rPr>
          <w:b/>
          <w:bCs/>
          <w:u w:val="single"/>
        </w:rPr>
        <w:t>soluzioni per il riconoscimento dei costi indiretti che non richiedono la definizione di un metodo</w:t>
      </w:r>
      <w:r w:rsidRPr="00B526F3">
        <w:t>:</w:t>
      </w:r>
    </w:p>
    <w:p w14:paraId="1DB15991" w14:textId="77777777" w:rsidR="00D174DE" w:rsidRPr="00B526F3" w:rsidRDefault="00D174DE">
      <w:pPr>
        <w:pStyle w:val="Paragrafoelenco"/>
        <w:numPr>
          <w:ilvl w:val="0"/>
          <w:numId w:val="4"/>
        </w:numPr>
        <w:spacing w:before="60" w:after="60" w:line="259" w:lineRule="auto"/>
      </w:pPr>
      <w:r w:rsidRPr="00B526F3">
        <w:t>fino al 7 % dei costi diretti ammissibili</w:t>
      </w:r>
    </w:p>
    <w:p w14:paraId="37C5D642" w14:textId="77777777" w:rsidR="00D174DE" w:rsidRPr="00B526F3" w:rsidRDefault="00D174DE">
      <w:pPr>
        <w:pStyle w:val="Paragrafoelenco"/>
        <w:numPr>
          <w:ilvl w:val="0"/>
          <w:numId w:val="4"/>
        </w:numPr>
        <w:spacing w:before="60" w:after="60" w:line="259" w:lineRule="auto"/>
      </w:pPr>
      <w:r w:rsidRPr="00B526F3">
        <w:t>fino al 15 % dei costi diretti ammissibili per il personale</w:t>
      </w:r>
    </w:p>
    <w:p w14:paraId="3BB97FDD" w14:textId="1EF44AAC" w:rsidR="00D174DE" w:rsidRPr="00B526F3" w:rsidRDefault="00D174DE" w:rsidP="00D174DE">
      <w:pPr>
        <w:spacing w:line="259" w:lineRule="auto"/>
      </w:pPr>
      <w:r w:rsidRPr="00B526F3">
        <w:t>Alla lettera c) del medesimo articolo è, viceversa, prevista la possibilità di riconoscere fino al 25% dei costi diretti ammissibili a condizione “</w:t>
      </w:r>
      <w:r w:rsidRPr="00B526F3">
        <w:rPr>
          <w:i/>
          <w:iCs/>
        </w:rPr>
        <w:t>che il tasso sia calcolato in conformità dell’articolo 53, paragrafo 3, lettera a)</w:t>
      </w:r>
      <w:r w:rsidRPr="00B526F3">
        <w:t>”: il che implica, pertanto, la definizione di un metodo di calcolo giusto, equo e verificabile basato sugli elementi previsti dalla disposizione richiamata e sopra precedentemente esposti</w:t>
      </w:r>
      <w:r w:rsidR="00306673">
        <w:t>.</w:t>
      </w:r>
    </w:p>
    <w:p w14:paraId="566B0B9D" w14:textId="77777777" w:rsidR="00D174DE" w:rsidRPr="00B526F3" w:rsidRDefault="00D174DE" w:rsidP="00D174DE">
      <w:pPr>
        <w:spacing w:line="259" w:lineRule="auto"/>
      </w:pPr>
    </w:p>
    <w:p w14:paraId="63A96711" w14:textId="065E33AC" w:rsidR="00D174DE" w:rsidRPr="00B526F3" w:rsidRDefault="00D174DE" w:rsidP="00D174DE">
      <w:pPr>
        <w:spacing w:line="259" w:lineRule="auto"/>
      </w:pPr>
      <w:r w:rsidRPr="00B526F3">
        <w:t>Anche nel caso dell’</w:t>
      </w:r>
      <w:r w:rsidRPr="00B526F3">
        <w:rPr>
          <w:b/>
          <w:bCs/>
          <w:u w:val="single"/>
        </w:rPr>
        <w:t>Art. 55(1)</w:t>
      </w:r>
      <w:r w:rsidRPr="00B526F3">
        <w:t xml:space="preserve"> è individuata una soluzione per</w:t>
      </w:r>
      <w:r w:rsidR="00B05E60">
        <w:t xml:space="preserve"> il rimborso de</w:t>
      </w:r>
      <w:r w:rsidRPr="00B526F3">
        <w:t xml:space="preserve">i </w:t>
      </w:r>
      <w:r w:rsidRPr="00B526F3">
        <w:rPr>
          <w:b/>
          <w:bCs/>
        </w:rPr>
        <w:t>costi diretti del personale</w:t>
      </w:r>
      <w:r w:rsidR="00D14FB3" w:rsidRPr="00B526F3">
        <w:rPr>
          <w:rStyle w:val="Rimandonotaapidipagina"/>
          <w:b/>
          <w:bCs/>
        </w:rPr>
        <w:footnoteReference w:id="4"/>
      </w:r>
      <w:r w:rsidRPr="00B526F3">
        <w:t xml:space="preserve"> che non implica la definizione/utilizzo di un metodo: </w:t>
      </w:r>
      <w:r w:rsidRPr="00B526F3">
        <w:rPr>
          <w:b/>
          <w:bCs/>
          <w:u w:val="single"/>
        </w:rPr>
        <w:t>“</w:t>
      </w:r>
      <w:r w:rsidRPr="00B526F3">
        <w:rPr>
          <w:b/>
          <w:bCs/>
          <w:i/>
          <w:iCs/>
          <w:u w:val="single"/>
        </w:rPr>
        <w:t>I costi diretti per il personale di un’operazione possono essere calcolati a un tasso forfettario fino al 20 %</w:t>
      </w:r>
      <w:r w:rsidRPr="00B526F3">
        <w:rPr>
          <w:i/>
          <w:iCs/>
        </w:rPr>
        <w:t xml:space="preserve"> </w:t>
      </w:r>
      <w:r w:rsidRPr="00B526F3">
        <w:rPr>
          <w:b/>
          <w:bCs/>
          <w:i/>
          <w:iCs/>
        </w:rPr>
        <w:t>dei costi diretti</w:t>
      </w:r>
      <w:r w:rsidRPr="00B526F3">
        <w:rPr>
          <w:i/>
          <w:iCs/>
        </w:rPr>
        <w:t xml:space="preserve"> di tale operazione diversi dai costi diretti per il personale</w:t>
      </w:r>
      <w:r w:rsidRPr="00B526F3">
        <w:t>”. Unica condizione definita dal regolamento è che “</w:t>
      </w:r>
      <w:r w:rsidRPr="00B526F3">
        <w:rPr>
          <w:i/>
          <w:iCs/>
        </w:rPr>
        <w:t>i costi diretti dell’operazione non comprendano appalti pubblici di lavori o di forniture o servizi il cui valore superi le soglie stabilite all’articolo 4 della direttiva 2014/24/UE o all’articolo 15 della direttiva 2014/25/UE</w:t>
      </w:r>
      <w:r w:rsidRPr="00B526F3">
        <w:t>”.</w:t>
      </w:r>
    </w:p>
    <w:p w14:paraId="74E3D9A1" w14:textId="66F10095" w:rsidR="00D174DE" w:rsidRPr="00B526F3" w:rsidRDefault="00D174DE" w:rsidP="00D174DE">
      <w:pPr>
        <w:spacing w:line="259" w:lineRule="auto"/>
      </w:pPr>
      <w:r w:rsidRPr="00B526F3">
        <w:t>L’</w:t>
      </w:r>
      <w:r w:rsidRPr="00B526F3">
        <w:rPr>
          <w:b/>
          <w:bCs/>
        </w:rPr>
        <w:t>Art. 55(2)</w:t>
      </w:r>
      <w:r w:rsidRPr="00B526F3">
        <w:t xml:space="preserve"> definisce due ulteriori metodi specifici per il calcolo dei costi del personale.</w:t>
      </w:r>
    </w:p>
    <w:p w14:paraId="5DA12E84" w14:textId="4DFA8855" w:rsidR="00D174DE" w:rsidRPr="00B526F3" w:rsidRDefault="00D174DE" w:rsidP="00A25989">
      <w:pPr>
        <w:spacing w:line="259" w:lineRule="auto"/>
      </w:pPr>
      <w:bookmarkStart w:id="4" w:name="_Hlk147307518"/>
      <w:r w:rsidRPr="00B526F3">
        <w:t xml:space="preserve">La </w:t>
      </w:r>
      <w:r w:rsidRPr="00B526F3">
        <w:rPr>
          <w:b/>
          <w:bCs/>
          <w:u w:val="single"/>
        </w:rPr>
        <w:t>prima</w:t>
      </w:r>
      <w:r w:rsidRPr="00B526F3">
        <w:rPr>
          <w:u w:val="single"/>
        </w:rPr>
        <w:t xml:space="preserve"> delle soluzioni delineate dalle disposizioni di cui all’Art. 55(2)</w:t>
      </w:r>
      <w:r w:rsidRPr="00B526F3">
        <w:t xml:space="preserve"> prevede che i costi del personale possano essere determinati</w:t>
      </w:r>
      <w:bookmarkEnd w:id="4"/>
      <w:r w:rsidR="00A25989" w:rsidRPr="00B526F3">
        <w:t xml:space="preserve"> </w:t>
      </w:r>
      <w:r w:rsidRPr="00B526F3">
        <w:t>sulla base di una tariffa orario determinata come di seguito:</w:t>
      </w:r>
    </w:p>
    <w:p w14:paraId="6B7240DF" w14:textId="77777777" w:rsidR="00A25989" w:rsidRPr="00B526F3" w:rsidRDefault="00A25989" w:rsidP="00A25989">
      <w:pPr>
        <w:spacing w:line="259" w:lineRule="auto"/>
      </w:pPr>
    </w:p>
    <w:p w14:paraId="0B8257DF" w14:textId="77777777" w:rsidR="00D174DE" w:rsidRPr="00B526F3" w:rsidRDefault="00D174DE" w:rsidP="00D174DE">
      <w:pPr>
        <w:spacing w:line="259" w:lineRule="auto"/>
        <w:jc w:val="center"/>
        <w:rPr>
          <w:i/>
          <w:iCs/>
        </w:rPr>
      </w:pPr>
      <w:r w:rsidRPr="00B526F3">
        <w:rPr>
          <w:i/>
          <w:iCs/>
        </w:rPr>
        <w:t>Costo orario del personale = i più recenti costi annui lordi per l’impiego documentati/1.720</w:t>
      </w:r>
    </w:p>
    <w:p w14:paraId="2271B84A" w14:textId="4FE6812B" w:rsidR="00D174DE" w:rsidRPr="00B526F3" w:rsidRDefault="00D174DE" w:rsidP="00D174DE">
      <w:pPr>
        <w:spacing w:after="160" w:line="259" w:lineRule="auto"/>
      </w:pPr>
      <w:r w:rsidRPr="00B526F3">
        <w:t>Il denominatore, 1.720 ore, è un «tempo di lavoro» annuo standard che può essere usato direttamente senza che vi sia un obbligo di eseguire alcun calcolo. Questa cifra è basata sulla media delle ore di lavoro settimanali degli Stati membri moltiplicata per 52 settimane e da cui sono state dedotte le ferie annuali retribuite e la media dei giorni festivi annuali.</w:t>
      </w:r>
    </w:p>
    <w:p w14:paraId="7FB7C426" w14:textId="77777777" w:rsidR="00D174DE" w:rsidRPr="00B526F3" w:rsidRDefault="00D174DE" w:rsidP="00D174DE">
      <w:pPr>
        <w:spacing w:after="160" w:line="259" w:lineRule="auto"/>
      </w:pPr>
      <w:r w:rsidRPr="00B526F3">
        <w:t xml:space="preserve">I </w:t>
      </w:r>
      <w:r w:rsidRPr="00B526F3">
        <w:rPr>
          <w:i/>
          <w:iCs/>
          <w:u w:val="single"/>
        </w:rPr>
        <w:t>più recenti costi annui lordi</w:t>
      </w:r>
      <w:r w:rsidRPr="00B526F3">
        <w:t xml:space="preserve"> devono essere documentati: ciò può avvenire tramite documenti contabili, riepiloghi delle buste paga, riferimento ad accordi o documenti pubblicamente disponibili ecc. Non devono essere necessariamente sottoposti a audit ex ante ma devono essere verificabili.</w:t>
      </w:r>
    </w:p>
    <w:p w14:paraId="47ECDAC5" w14:textId="77777777" w:rsidR="00D174DE" w:rsidRPr="00B526F3" w:rsidRDefault="00D174DE" w:rsidP="00D174DE">
      <w:pPr>
        <w:spacing w:line="259" w:lineRule="auto"/>
      </w:pPr>
      <w:r w:rsidRPr="00B526F3">
        <w:t xml:space="preserve">La </w:t>
      </w:r>
      <w:r w:rsidRPr="00B526F3">
        <w:rPr>
          <w:b/>
          <w:bCs/>
          <w:u w:val="single"/>
        </w:rPr>
        <w:t>seconda</w:t>
      </w:r>
      <w:r w:rsidRPr="00B526F3">
        <w:rPr>
          <w:u w:val="single"/>
        </w:rPr>
        <w:t xml:space="preserve"> delle soluzioni delineate dalle disposizioni di cui all’Art. 55(2)</w:t>
      </w:r>
      <w:r w:rsidRPr="00B526F3">
        <w:t xml:space="preserve"> prevede che i costi del personale possano essere determinati “</w:t>
      </w:r>
      <w:r w:rsidRPr="00B526F3">
        <w:rPr>
          <w:i/>
          <w:iCs/>
        </w:rPr>
        <w:t>dividendo i più recenti costi del lavoro lordi documentati per il personale, se mensili, per la media delle ore lavorate mensili della persona interessata in conformità delle norme nazionali applicabili menzionate nel contratto di lavoro o di impiego o nella decisione di nomina (denominati atto di impiego)</w:t>
      </w:r>
      <w:r w:rsidRPr="00B526F3">
        <w:t>”.</w:t>
      </w:r>
    </w:p>
    <w:p w14:paraId="64917FDF" w14:textId="77777777" w:rsidR="00D174DE" w:rsidRPr="00B526F3" w:rsidRDefault="00D174DE" w:rsidP="00D174DE">
      <w:pPr>
        <w:spacing w:line="259" w:lineRule="auto"/>
      </w:pPr>
      <w:r w:rsidRPr="00B526F3">
        <w:t>Condizione di applicazione dell’Art. 55(2) RDC è che “</w:t>
      </w:r>
      <w:r w:rsidRPr="00B526F3">
        <w:rPr>
          <w:i/>
          <w:iCs/>
        </w:rPr>
        <w:t>il totale delle ore dichiarate per persona per un dato anno o mese non supera il numero di ore utilizzato per il calcolo della tariffa oraria</w:t>
      </w:r>
      <w:r w:rsidRPr="00B526F3">
        <w:t>”</w:t>
      </w:r>
      <w:r w:rsidRPr="00B526F3">
        <w:rPr>
          <w:rStyle w:val="Rimandonotaapidipagina"/>
        </w:rPr>
        <w:footnoteReference w:id="5"/>
      </w:r>
      <w:r w:rsidRPr="00B526F3">
        <w:t>.</w:t>
      </w:r>
    </w:p>
    <w:p w14:paraId="3CE372B7" w14:textId="77777777" w:rsidR="00D174DE" w:rsidRPr="00B526F3" w:rsidRDefault="00D174DE" w:rsidP="00D174DE">
      <w:pPr>
        <w:spacing w:line="259" w:lineRule="auto"/>
      </w:pPr>
    </w:p>
    <w:p w14:paraId="7CB4B51D" w14:textId="46B04FB0" w:rsidR="00D174DE" w:rsidRPr="00B526F3" w:rsidRDefault="00D174DE" w:rsidP="00D174DE">
      <w:pPr>
        <w:spacing w:line="259" w:lineRule="auto"/>
      </w:pPr>
      <w:r w:rsidRPr="00B526F3">
        <w:t>L’</w:t>
      </w:r>
      <w:r w:rsidRPr="00B526F3">
        <w:rPr>
          <w:b/>
          <w:bCs/>
        </w:rPr>
        <w:t>Art. 56 RDC</w:t>
      </w:r>
      <w:r w:rsidRPr="00B526F3">
        <w:t xml:space="preserve"> disciplina il caso del </w:t>
      </w:r>
      <w:r w:rsidRPr="00B526F3">
        <w:rPr>
          <w:b/>
          <w:bCs/>
          <w:u w:val="single"/>
        </w:rPr>
        <w:t>finanziamento a tasso forfettario dei costi ammissibili diversi dai costi diretti per il personale</w:t>
      </w:r>
      <w:r w:rsidRPr="00B526F3">
        <w:t xml:space="preserve"> senza che sia necessaria la definizione di un metodo. Su tale base è possibile applicare un tasso </w:t>
      </w:r>
      <w:r w:rsidR="00B05E60">
        <w:t>fino a</w:t>
      </w:r>
      <w:r w:rsidRPr="00B526F3">
        <w:t>l 40% a condizione, tuttavia, che i costi per il personale non siano calcolati in base al tasso forfettario di cui all’Art. 55(1) RDC (cfr. sopra quanto in merito all’Art. 55 RDC).</w:t>
      </w:r>
    </w:p>
    <w:p w14:paraId="3B95032F" w14:textId="77777777" w:rsidR="00D174DE" w:rsidRPr="00B526F3" w:rsidRDefault="00D174DE" w:rsidP="00D174DE">
      <w:pPr>
        <w:spacing w:line="259" w:lineRule="auto"/>
      </w:pPr>
    </w:p>
    <w:p w14:paraId="5EA80068" w14:textId="77777777" w:rsidR="00D174DE" w:rsidRPr="00D77962" w:rsidRDefault="00D174DE" w:rsidP="00D174DE">
      <w:pPr>
        <w:spacing w:line="259" w:lineRule="auto"/>
      </w:pPr>
      <w:r w:rsidRPr="00D77962">
        <w:t>Il quadro normativo di riferimento in materia di OSC è stato integrato, nel contesto del ciclo di programmazione 2021 – 2027, da una norma che assume particolare rilievo nel contesto delle attività di implementazione del PR. Si tratta delle disposizioni di cui all’Art. 53(2) RDC che così recita:</w:t>
      </w:r>
    </w:p>
    <w:p w14:paraId="6E2489EB" w14:textId="0BF03A4F" w:rsidR="00D174DE" w:rsidRPr="00D77962" w:rsidRDefault="00D174DE" w:rsidP="00D174DE">
      <w:pPr>
        <w:spacing w:line="259" w:lineRule="auto"/>
        <w:rPr>
          <w:i/>
          <w:iCs/>
        </w:rPr>
      </w:pPr>
      <w:r w:rsidRPr="00D77962">
        <w:t>“</w:t>
      </w:r>
      <w:r w:rsidRPr="00D77962">
        <w:rPr>
          <w:i/>
          <w:iCs/>
        </w:rPr>
        <w:t xml:space="preserve">2. Se il </w:t>
      </w:r>
      <w:r w:rsidRPr="00D77962">
        <w:rPr>
          <w:b/>
          <w:bCs/>
          <w:i/>
          <w:iCs/>
        </w:rPr>
        <w:t>costo totale di un’operazione non supera 200 000 EUR</w:t>
      </w:r>
      <w:r w:rsidRPr="00D77962">
        <w:rPr>
          <w:i/>
          <w:iCs/>
        </w:rPr>
        <w:t xml:space="preserve">, il </w:t>
      </w:r>
      <w:r w:rsidRPr="00D77962">
        <w:rPr>
          <w:b/>
          <w:bCs/>
          <w:i/>
          <w:iCs/>
        </w:rPr>
        <w:t>contributo fornito al beneficiario</w:t>
      </w:r>
      <w:r w:rsidRPr="00D77962">
        <w:rPr>
          <w:i/>
          <w:iCs/>
        </w:rPr>
        <w:t xml:space="preserve"> dal FESR, dal FSE+, dal JTF, dall’AMIF, dall’ISF e dal BMVI </w:t>
      </w:r>
      <w:r w:rsidRPr="00D77962">
        <w:rPr>
          <w:b/>
          <w:bCs/>
          <w:i/>
          <w:iCs/>
        </w:rPr>
        <w:t>assume la forma di costi unitari, somme forfettarie o tassi forfettari, ad eccezione delle operazioni il cui sostegno configura un aiuto di Stato</w:t>
      </w:r>
      <w:r w:rsidRPr="00D77962">
        <w:rPr>
          <w:i/>
          <w:iCs/>
        </w:rPr>
        <w:t>. Quando si ricorre al finanziamento a tasso forfettario possono essere rimborsate solo le categorie di costi cui si applica il tasso forfettario a norma del paragrafo 1, lettera a).</w:t>
      </w:r>
    </w:p>
    <w:p w14:paraId="0ACBEB0B" w14:textId="7ABBF709" w:rsidR="00D174DE" w:rsidRPr="00D77962" w:rsidRDefault="00D174DE" w:rsidP="00D174DE">
      <w:pPr>
        <w:spacing w:line="259" w:lineRule="auto"/>
      </w:pPr>
      <w:r w:rsidRPr="00D77962">
        <w:rPr>
          <w:i/>
          <w:iCs/>
        </w:rPr>
        <w:t xml:space="preserve">In </w:t>
      </w:r>
      <w:r w:rsidRPr="00D77962">
        <w:rPr>
          <w:b/>
          <w:bCs/>
          <w:i/>
          <w:iCs/>
        </w:rPr>
        <w:t>deroga al primo comma</w:t>
      </w:r>
      <w:r w:rsidRPr="00D77962">
        <w:rPr>
          <w:i/>
          <w:iCs/>
        </w:rPr>
        <w:t xml:space="preserve"> del presente paragrafo, l’autorità di gestione può convenire di esentare dall’obbligo di cui a tale comma </w:t>
      </w:r>
      <w:r w:rsidRPr="00D77962">
        <w:rPr>
          <w:b/>
          <w:bCs/>
          <w:i/>
          <w:iCs/>
        </w:rPr>
        <w:t>alcune operazioni nel settore della ricerca e dell’innovazione, previa approvazione del comitato di sorveglianza</w:t>
      </w:r>
      <w:r w:rsidRPr="00D77962">
        <w:rPr>
          <w:i/>
          <w:iCs/>
        </w:rPr>
        <w:t>. Inoltre</w:t>
      </w:r>
      <w:r w:rsidR="00B05E60">
        <w:rPr>
          <w:i/>
          <w:iCs/>
        </w:rPr>
        <w:t>,</w:t>
      </w:r>
      <w:r w:rsidRPr="00D77962">
        <w:rPr>
          <w:i/>
          <w:iCs/>
        </w:rPr>
        <w:t xml:space="preserve"> le indennità e gli stipendi versati ai partecipanti possono essere rimborsati in conformità del paragrafo 1, lettera a).</w:t>
      </w:r>
      <w:r w:rsidRPr="00D77962">
        <w:t>”</w:t>
      </w:r>
    </w:p>
    <w:p w14:paraId="593F4CF4" w14:textId="77777777" w:rsidR="001A2EC7" w:rsidRPr="00D77962" w:rsidRDefault="001A2EC7" w:rsidP="00D174DE"/>
    <w:p w14:paraId="4C04C369" w14:textId="59E4B8E0" w:rsidR="00D174DE" w:rsidRPr="00B526F3" w:rsidRDefault="00D174DE" w:rsidP="00D174DE">
      <w:r w:rsidRPr="00D77962">
        <w:t xml:space="preserve">Sulla scorta di quanto alla norma richiamata, pertanto ed al netto </w:t>
      </w:r>
      <w:r w:rsidR="001A2EC7" w:rsidRPr="00D77962">
        <w:t>della deroga</w:t>
      </w:r>
      <w:r w:rsidRPr="00D77962">
        <w:t xml:space="preserve"> ivi prevista</w:t>
      </w:r>
      <w:r w:rsidRPr="004F1D0C">
        <w:rPr>
          <w:b/>
          <w:bCs/>
        </w:rPr>
        <w:t>, in tutti i casi in cui il costo totale dell’operazione non supera € 200.000</w:t>
      </w:r>
      <w:r w:rsidRPr="00D77962">
        <w:t>, sarà necessario definire una OSC in base alla quale riconoscere l’importo complessivo del contributo al Beneficiario.</w:t>
      </w:r>
    </w:p>
    <w:p w14:paraId="6DC978BF" w14:textId="27B9396D" w:rsidR="00D174DE" w:rsidRPr="00B526F3" w:rsidRDefault="00D174DE" w:rsidP="00D174DE">
      <w:r w:rsidRPr="00B526F3">
        <w:t xml:space="preserve">È opportuno, inoltre, sottolineare che a differenza che nel caso del ciclo di programmazione 2014 – 2020, il RDC non contiene una definizione ad hoc – applicabile ai Fondi – del concetto di aiuti di stato. Tale revisione dell’approccio della Commissione su tale tema fa sì che, nel ciclo di programmazione 2021-2027, </w:t>
      </w:r>
      <w:r w:rsidRPr="00B526F3">
        <w:rPr>
          <w:b/>
          <w:bCs/>
        </w:rPr>
        <w:t xml:space="preserve">per “aiuto di stato” deve intendersi </w:t>
      </w:r>
      <w:r w:rsidR="001A2EC7" w:rsidRPr="00B526F3">
        <w:rPr>
          <w:b/>
          <w:bCs/>
        </w:rPr>
        <w:t xml:space="preserve">esclusivamente </w:t>
      </w:r>
      <w:r w:rsidRPr="00B526F3">
        <w:rPr>
          <w:b/>
          <w:bCs/>
        </w:rPr>
        <w:t>una misura di sostegno ricadente nel campo di applicazione dell’Art. 107 par. 1 TFUE</w:t>
      </w:r>
      <w:r w:rsidRPr="00B526F3">
        <w:t>.</w:t>
      </w:r>
    </w:p>
    <w:p w14:paraId="652A1CEA" w14:textId="18D0A964" w:rsidR="00D174DE" w:rsidRPr="006901CE" w:rsidRDefault="00D174DE" w:rsidP="00D174DE">
      <w:r w:rsidRPr="00B526F3">
        <w:t xml:space="preserve">Ne segue che </w:t>
      </w:r>
      <w:r w:rsidRPr="00D77962">
        <w:rPr>
          <w:b/>
          <w:bCs/>
        </w:rPr>
        <w:t xml:space="preserve">non sono ricompresi, correttamente, in tale ambito, gli aiuti concessi in base ad un regolamento “de </w:t>
      </w:r>
      <w:r w:rsidRPr="006901CE">
        <w:rPr>
          <w:b/>
          <w:bCs/>
        </w:rPr>
        <w:t>minimis”</w:t>
      </w:r>
      <w:r w:rsidRPr="006901CE">
        <w:t xml:space="preserve"> quale, ad esempio, il</w:t>
      </w:r>
      <w:r w:rsidR="006901CE" w:rsidRPr="00A801C9">
        <w:t xml:space="preserve"> </w:t>
      </w:r>
      <w:r w:rsidR="00D77962" w:rsidRPr="00A801C9">
        <w:t>Reg. 2831/2023 o il Reg. 2830/2023</w:t>
      </w:r>
      <w:r w:rsidR="00AC1336" w:rsidRPr="006901CE">
        <w:rPr>
          <w:rStyle w:val="Rimandonotaapidipagina"/>
        </w:rPr>
        <w:t xml:space="preserve"> </w:t>
      </w:r>
      <w:r w:rsidR="00AC1336" w:rsidRPr="006901CE">
        <w:rPr>
          <w:rStyle w:val="Rimandonotaapidipagina"/>
        </w:rPr>
        <w:footnoteReference w:id="6"/>
      </w:r>
      <w:r w:rsidR="00D77962" w:rsidRPr="00A801C9">
        <w:t>.</w:t>
      </w:r>
    </w:p>
    <w:p w14:paraId="1BA41BA5" w14:textId="5D1AAF3E" w:rsidR="00D174DE" w:rsidRPr="00B526F3" w:rsidRDefault="00D174DE" w:rsidP="00D174DE">
      <w:r w:rsidRPr="006901CE">
        <w:t xml:space="preserve">Sulla scorta di tale disposizione, un aiuto concesso, ad esempio, sulla base di quanto al Reg. </w:t>
      </w:r>
      <w:r w:rsidR="00D77962" w:rsidRPr="00A801C9">
        <w:t>Reg. 2831/2023</w:t>
      </w:r>
      <w:r w:rsidRPr="006901CE">
        <w:t>, nel caso in</w:t>
      </w:r>
      <w:r w:rsidRPr="00D77962">
        <w:t xml:space="preserve"> cui il costo totale dell’operazione non superi € 200.000</w:t>
      </w:r>
      <w:r w:rsidR="00AC1336">
        <w:rPr>
          <w:rStyle w:val="Rimandonotaapidipagina"/>
        </w:rPr>
        <w:footnoteReference w:id="7"/>
      </w:r>
      <w:r w:rsidRPr="00D77962">
        <w:t>, dovrà avere la forma di un contributo fornito sulla base della applicazione delle Opzioni di Costo Semplificato di cui all’Art. 53(1) lettere b), c), d),</w:t>
      </w:r>
      <w:r w:rsidR="001A2EC7" w:rsidRPr="00D77962">
        <w:t xml:space="preserve"> e)</w:t>
      </w:r>
      <w:r w:rsidRPr="00D77962">
        <w:t xml:space="preserve"> tranne nel caso di cui al secondo comma dell’Art. 53(2) RDC</w:t>
      </w:r>
      <w:r w:rsidRPr="00D77962">
        <w:rPr>
          <w:rStyle w:val="Rimandonotaapidipagina"/>
        </w:rPr>
        <w:footnoteReference w:id="8"/>
      </w:r>
      <w:r w:rsidRPr="00D77962">
        <w:t>.</w:t>
      </w:r>
    </w:p>
    <w:p w14:paraId="38877927" w14:textId="7BE278F4" w:rsidR="006C5D06" w:rsidRDefault="00B134DA">
      <w:pPr>
        <w:spacing w:after="160" w:line="259" w:lineRule="auto"/>
        <w:jc w:val="left"/>
      </w:pPr>
      <w:r>
        <w:t>Di seguito si riportano alcuni e</w:t>
      </w:r>
      <w:r w:rsidRPr="00B134DA">
        <w:t>sempi di uso obbligatorio delle OSC</w:t>
      </w:r>
      <w:r>
        <w:t>.</w:t>
      </w:r>
    </w:p>
    <w:tbl>
      <w:tblPr>
        <w:tblW w:w="9528" w:type="dxa"/>
        <w:tblInd w:w="-45" w:type="dxa"/>
        <w:tblBorders>
          <w:top w:val="double" w:sz="4" w:space="0" w:color="2E74B5" w:themeColor="accent5" w:themeShade="BF"/>
          <w:left w:val="double" w:sz="4" w:space="0" w:color="2E74B5" w:themeColor="accent5" w:themeShade="BF"/>
          <w:bottom w:val="double" w:sz="4" w:space="0" w:color="2E74B5" w:themeColor="accent5" w:themeShade="BF"/>
          <w:right w:val="double" w:sz="4" w:space="0" w:color="2E74B5" w:themeColor="accent5" w:themeShade="BF"/>
          <w:insideH w:val="single" w:sz="6" w:space="0" w:color="2E74B5" w:themeColor="accent5" w:themeShade="BF"/>
          <w:insideV w:val="single" w:sz="6" w:space="0" w:color="2E74B5" w:themeColor="accent5" w:themeShade="BF"/>
        </w:tblBorders>
        <w:tblLayout w:type="fixed"/>
        <w:tblCellMar>
          <w:left w:w="70" w:type="dxa"/>
          <w:right w:w="70" w:type="dxa"/>
        </w:tblCellMar>
        <w:tblLook w:val="0000" w:firstRow="0" w:lastRow="0" w:firstColumn="0" w:lastColumn="0" w:noHBand="0" w:noVBand="0"/>
      </w:tblPr>
      <w:tblGrid>
        <w:gridCol w:w="3149"/>
        <w:gridCol w:w="2977"/>
        <w:gridCol w:w="3402"/>
      </w:tblGrid>
      <w:tr w:rsidR="00B134DA" w14:paraId="523CEF92" w14:textId="77777777" w:rsidTr="002D346B">
        <w:trPr>
          <w:trHeight w:val="245"/>
        </w:trPr>
        <w:tc>
          <w:tcPr>
            <w:tcW w:w="3149" w:type="dxa"/>
            <w:shd w:val="solid" w:color="FFCC00" w:fill="auto"/>
          </w:tcPr>
          <w:p w14:paraId="745E93C5" w14:textId="77777777" w:rsidR="006C5D06" w:rsidRDefault="006C5D06">
            <w:pPr>
              <w:autoSpaceDE w:val="0"/>
              <w:autoSpaceDN w:val="0"/>
              <w:adjustRightInd w:val="0"/>
              <w:jc w:val="center"/>
              <w:rPr>
                <w:rFonts w:eastAsiaTheme="minorHAnsi" w:cs="Calibri"/>
                <w:b/>
                <w:bCs/>
                <w:color w:val="FFFFFF"/>
                <w:sz w:val="18"/>
                <w:szCs w:val="18"/>
                <w:lang w:eastAsia="en-US"/>
              </w:rPr>
            </w:pPr>
            <w:r>
              <w:rPr>
                <w:rFonts w:eastAsiaTheme="minorHAnsi" w:cs="Calibri"/>
                <w:b/>
                <w:bCs/>
                <w:color w:val="FFFFFF"/>
                <w:sz w:val="18"/>
                <w:szCs w:val="18"/>
                <w:lang w:eastAsia="en-US"/>
              </w:rPr>
              <w:t xml:space="preserve">  Uso dell'articolo 54, lettera a) o c), del RDC</w:t>
            </w:r>
          </w:p>
        </w:tc>
        <w:tc>
          <w:tcPr>
            <w:tcW w:w="2977" w:type="dxa"/>
            <w:shd w:val="solid" w:color="FFCC00" w:fill="auto"/>
          </w:tcPr>
          <w:p w14:paraId="6B57E2BA" w14:textId="77777777" w:rsidR="006C5D06" w:rsidRDefault="006C5D06">
            <w:pPr>
              <w:autoSpaceDE w:val="0"/>
              <w:autoSpaceDN w:val="0"/>
              <w:adjustRightInd w:val="0"/>
              <w:jc w:val="center"/>
              <w:rPr>
                <w:rFonts w:eastAsiaTheme="minorHAnsi" w:cs="Calibri"/>
                <w:b/>
                <w:bCs/>
                <w:color w:val="FFFFFF"/>
                <w:sz w:val="18"/>
                <w:szCs w:val="18"/>
                <w:lang w:eastAsia="en-US"/>
              </w:rPr>
            </w:pPr>
            <w:r>
              <w:rPr>
                <w:rFonts w:eastAsiaTheme="minorHAnsi" w:cs="Calibri"/>
                <w:b/>
                <w:bCs/>
                <w:color w:val="FFFFFF"/>
                <w:sz w:val="18"/>
                <w:szCs w:val="18"/>
                <w:lang w:eastAsia="en-US"/>
              </w:rPr>
              <w:t>Uso dell'articolo 54, lettera b), del RDC</w:t>
            </w:r>
          </w:p>
        </w:tc>
        <w:tc>
          <w:tcPr>
            <w:tcW w:w="3402" w:type="dxa"/>
            <w:shd w:val="solid" w:color="FFCC00" w:fill="auto"/>
          </w:tcPr>
          <w:p w14:paraId="25A1FB93" w14:textId="77777777" w:rsidR="006C5D06" w:rsidRDefault="006C5D06">
            <w:pPr>
              <w:autoSpaceDE w:val="0"/>
              <w:autoSpaceDN w:val="0"/>
              <w:adjustRightInd w:val="0"/>
              <w:jc w:val="center"/>
              <w:rPr>
                <w:rFonts w:eastAsiaTheme="minorHAnsi" w:cs="Calibri"/>
                <w:b/>
                <w:bCs/>
                <w:color w:val="FFFFFF"/>
                <w:sz w:val="18"/>
                <w:szCs w:val="18"/>
                <w:lang w:eastAsia="en-US"/>
              </w:rPr>
            </w:pPr>
            <w:r>
              <w:rPr>
                <w:rFonts w:eastAsiaTheme="minorHAnsi" w:cs="Calibri"/>
                <w:b/>
                <w:bCs/>
                <w:color w:val="FFFFFF"/>
                <w:sz w:val="18"/>
                <w:szCs w:val="18"/>
                <w:lang w:eastAsia="en-US"/>
              </w:rPr>
              <w:t>Uso dell'articolo 56, paragrafo 1, del RDC</w:t>
            </w:r>
          </w:p>
        </w:tc>
      </w:tr>
      <w:tr w:rsidR="00B134DA" w14:paraId="0288B670" w14:textId="77777777" w:rsidTr="002D346B">
        <w:trPr>
          <w:trHeight w:val="475"/>
        </w:trPr>
        <w:tc>
          <w:tcPr>
            <w:tcW w:w="3149" w:type="dxa"/>
            <w:shd w:val="solid" w:color="FFFFCC" w:fill="auto"/>
            <w:vAlign w:val="center"/>
          </w:tcPr>
          <w:p w14:paraId="06BFA496" w14:textId="28CE5EA4" w:rsidR="006C5D06" w:rsidRPr="002D346B" w:rsidRDefault="006C5D06" w:rsidP="002D346B">
            <w:pPr>
              <w:pStyle w:val="Paragrafoelenco"/>
              <w:numPr>
                <w:ilvl w:val="0"/>
                <w:numId w:val="62"/>
              </w:numPr>
              <w:autoSpaceDE w:val="0"/>
              <w:autoSpaceDN w:val="0"/>
              <w:adjustRightInd w:val="0"/>
              <w:jc w:val="left"/>
              <w:rPr>
                <w:rFonts w:eastAsiaTheme="minorHAnsi" w:cs="Calibri"/>
                <w:color w:val="000000"/>
                <w:sz w:val="18"/>
                <w:szCs w:val="18"/>
                <w:lang w:eastAsia="en-US"/>
              </w:rPr>
            </w:pPr>
            <w:r w:rsidRPr="002D346B">
              <w:rPr>
                <w:rFonts w:eastAsiaTheme="minorHAnsi" w:cs="Calibri"/>
                <w:color w:val="000000"/>
                <w:sz w:val="18"/>
                <w:szCs w:val="18"/>
                <w:lang w:eastAsia="en-US"/>
              </w:rPr>
              <w:t xml:space="preserve">Costi indiretti = 7 % dei costi diretti (metodologia non richiesta) o 25 % dei costi diretti (metodologia richiesta) </w:t>
            </w:r>
          </w:p>
        </w:tc>
        <w:tc>
          <w:tcPr>
            <w:tcW w:w="2977" w:type="dxa"/>
            <w:shd w:val="solid" w:color="FFFFCC" w:fill="auto"/>
            <w:vAlign w:val="center"/>
          </w:tcPr>
          <w:p w14:paraId="0119BB3B" w14:textId="7D7DE57F" w:rsidR="006C5D06" w:rsidRPr="002D346B" w:rsidRDefault="006C5D06" w:rsidP="002D346B">
            <w:pPr>
              <w:pStyle w:val="Paragrafoelenco"/>
              <w:numPr>
                <w:ilvl w:val="0"/>
                <w:numId w:val="62"/>
              </w:numPr>
              <w:autoSpaceDE w:val="0"/>
              <w:autoSpaceDN w:val="0"/>
              <w:adjustRightInd w:val="0"/>
              <w:jc w:val="left"/>
              <w:rPr>
                <w:rFonts w:eastAsiaTheme="minorHAnsi" w:cs="Calibri"/>
                <w:color w:val="000000"/>
                <w:sz w:val="18"/>
                <w:szCs w:val="18"/>
                <w:lang w:eastAsia="en-US"/>
              </w:rPr>
            </w:pPr>
            <w:r w:rsidRPr="002D346B">
              <w:rPr>
                <w:rFonts w:eastAsiaTheme="minorHAnsi" w:cs="Calibri"/>
                <w:color w:val="000000"/>
                <w:sz w:val="18"/>
                <w:szCs w:val="18"/>
                <w:lang w:eastAsia="en-US"/>
              </w:rPr>
              <w:t xml:space="preserve">Costi indiretti = 15 % dei costi per il personale (non è richiesta una metodologia) </w:t>
            </w:r>
          </w:p>
        </w:tc>
        <w:tc>
          <w:tcPr>
            <w:tcW w:w="3402" w:type="dxa"/>
            <w:shd w:val="solid" w:color="FFFFCC" w:fill="auto"/>
            <w:vAlign w:val="center"/>
          </w:tcPr>
          <w:p w14:paraId="53306467" w14:textId="794DD2AB" w:rsidR="006C5D06" w:rsidRPr="002D346B" w:rsidRDefault="006C5D06" w:rsidP="002D346B">
            <w:pPr>
              <w:pStyle w:val="Paragrafoelenco"/>
              <w:numPr>
                <w:ilvl w:val="0"/>
                <w:numId w:val="62"/>
              </w:numPr>
              <w:autoSpaceDE w:val="0"/>
              <w:autoSpaceDN w:val="0"/>
              <w:adjustRightInd w:val="0"/>
              <w:jc w:val="left"/>
              <w:rPr>
                <w:rFonts w:eastAsiaTheme="minorHAnsi" w:cs="Calibri"/>
                <w:color w:val="000000"/>
                <w:sz w:val="18"/>
                <w:szCs w:val="18"/>
                <w:lang w:eastAsia="en-US"/>
              </w:rPr>
            </w:pPr>
            <w:r w:rsidRPr="002D346B">
              <w:rPr>
                <w:rFonts w:eastAsiaTheme="minorHAnsi" w:cs="Calibri"/>
                <w:color w:val="000000"/>
                <w:sz w:val="18"/>
                <w:szCs w:val="18"/>
                <w:lang w:eastAsia="en-US"/>
              </w:rPr>
              <w:t xml:space="preserve">Costi per il personale = costi reali </w:t>
            </w:r>
          </w:p>
        </w:tc>
      </w:tr>
      <w:tr w:rsidR="00B134DA" w14:paraId="518B52E2" w14:textId="77777777" w:rsidTr="002D346B">
        <w:trPr>
          <w:trHeight w:val="461"/>
        </w:trPr>
        <w:tc>
          <w:tcPr>
            <w:tcW w:w="3149" w:type="dxa"/>
            <w:shd w:val="solid" w:color="FFFFCC" w:fill="auto"/>
            <w:vAlign w:val="center"/>
          </w:tcPr>
          <w:p w14:paraId="51CB9EA8" w14:textId="0B4252DD" w:rsidR="006C5D06" w:rsidRPr="002D346B" w:rsidRDefault="006C5D06" w:rsidP="002D346B">
            <w:pPr>
              <w:pStyle w:val="Paragrafoelenco"/>
              <w:numPr>
                <w:ilvl w:val="0"/>
                <w:numId w:val="62"/>
              </w:numPr>
              <w:autoSpaceDE w:val="0"/>
              <w:autoSpaceDN w:val="0"/>
              <w:adjustRightInd w:val="0"/>
              <w:jc w:val="left"/>
              <w:rPr>
                <w:rFonts w:eastAsiaTheme="minorHAnsi" w:cs="Calibri"/>
                <w:color w:val="000000"/>
                <w:sz w:val="18"/>
                <w:szCs w:val="18"/>
                <w:lang w:eastAsia="en-US"/>
              </w:rPr>
            </w:pPr>
            <w:r w:rsidRPr="002D346B">
              <w:rPr>
                <w:rFonts w:eastAsiaTheme="minorHAnsi" w:cs="Calibri"/>
                <w:color w:val="000000"/>
                <w:sz w:val="18"/>
                <w:szCs w:val="18"/>
                <w:lang w:eastAsia="en-US"/>
              </w:rPr>
              <w:t>Costi diretti = costi reali</w:t>
            </w:r>
          </w:p>
        </w:tc>
        <w:tc>
          <w:tcPr>
            <w:tcW w:w="2977" w:type="dxa"/>
            <w:shd w:val="solid" w:color="FFFFCC" w:fill="auto"/>
            <w:vAlign w:val="center"/>
          </w:tcPr>
          <w:p w14:paraId="0B92872D" w14:textId="455F4548" w:rsidR="006C5D06" w:rsidRPr="002D346B" w:rsidRDefault="006C5D06" w:rsidP="002D346B">
            <w:pPr>
              <w:pStyle w:val="Paragrafoelenco"/>
              <w:numPr>
                <w:ilvl w:val="0"/>
                <w:numId w:val="62"/>
              </w:numPr>
              <w:autoSpaceDE w:val="0"/>
              <w:autoSpaceDN w:val="0"/>
              <w:adjustRightInd w:val="0"/>
              <w:jc w:val="left"/>
              <w:rPr>
                <w:rFonts w:eastAsiaTheme="minorHAnsi" w:cs="Calibri"/>
                <w:color w:val="000000"/>
                <w:sz w:val="18"/>
                <w:szCs w:val="18"/>
                <w:lang w:eastAsia="en-US"/>
              </w:rPr>
            </w:pPr>
            <w:r w:rsidRPr="002D346B">
              <w:rPr>
                <w:rFonts w:eastAsiaTheme="minorHAnsi" w:cs="Calibri"/>
                <w:color w:val="000000"/>
                <w:sz w:val="18"/>
                <w:szCs w:val="18"/>
                <w:lang w:eastAsia="en-US"/>
              </w:rPr>
              <w:t xml:space="preserve">Costi per il personale = costi reali </w:t>
            </w:r>
          </w:p>
        </w:tc>
        <w:tc>
          <w:tcPr>
            <w:tcW w:w="3402" w:type="dxa"/>
            <w:shd w:val="solid" w:color="FFFFCC" w:fill="auto"/>
            <w:vAlign w:val="center"/>
          </w:tcPr>
          <w:p w14:paraId="0F58824C" w14:textId="3151561E" w:rsidR="006C5D06" w:rsidRPr="002D346B" w:rsidRDefault="006C5D06" w:rsidP="002D346B">
            <w:pPr>
              <w:pStyle w:val="Paragrafoelenco"/>
              <w:numPr>
                <w:ilvl w:val="0"/>
                <w:numId w:val="62"/>
              </w:numPr>
              <w:autoSpaceDE w:val="0"/>
              <w:autoSpaceDN w:val="0"/>
              <w:adjustRightInd w:val="0"/>
              <w:jc w:val="left"/>
              <w:rPr>
                <w:rFonts w:eastAsiaTheme="minorHAnsi" w:cs="Calibri"/>
                <w:color w:val="000000"/>
                <w:sz w:val="18"/>
                <w:szCs w:val="18"/>
                <w:lang w:eastAsia="en-US"/>
              </w:rPr>
            </w:pPr>
            <w:r w:rsidRPr="002D346B">
              <w:rPr>
                <w:rFonts w:eastAsiaTheme="minorHAnsi" w:cs="Calibri"/>
                <w:color w:val="000000"/>
                <w:sz w:val="18"/>
                <w:szCs w:val="18"/>
                <w:lang w:eastAsia="en-US"/>
              </w:rPr>
              <w:t xml:space="preserve">Costi residui = 40 % dei costi per il personale (non è richiesta una metodologia) </w:t>
            </w:r>
          </w:p>
        </w:tc>
      </w:tr>
      <w:tr w:rsidR="00B134DA" w14:paraId="1D858C84" w14:textId="77777777" w:rsidTr="002D346B">
        <w:trPr>
          <w:trHeight w:val="1051"/>
        </w:trPr>
        <w:tc>
          <w:tcPr>
            <w:tcW w:w="3149" w:type="dxa"/>
            <w:shd w:val="solid" w:color="FFFFCC" w:fill="auto"/>
            <w:vAlign w:val="center"/>
          </w:tcPr>
          <w:p w14:paraId="68F7878F" w14:textId="77777777" w:rsidR="006C5D06" w:rsidRDefault="006C5D06" w:rsidP="00B134DA">
            <w:pPr>
              <w:autoSpaceDE w:val="0"/>
              <w:autoSpaceDN w:val="0"/>
              <w:adjustRightInd w:val="0"/>
              <w:jc w:val="left"/>
              <w:rPr>
                <w:rFonts w:eastAsiaTheme="minorHAnsi" w:cs="Calibri"/>
                <w:color w:val="000000"/>
                <w:sz w:val="18"/>
                <w:szCs w:val="18"/>
                <w:lang w:eastAsia="en-US"/>
              </w:rPr>
            </w:pPr>
          </w:p>
        </w:tc>
        <w:tc>
          <w:tcPr>
            <w:tcW w:w="2977" w:type="dxa"/>
            <w:shd w:val="solid" w:color="FFFFCC" w:fill="auto"/>
            <w:vAlign w:val="center"/>
          </w:tcPr>
          <w:p w14:paraId="7B186285" w14:textId="41FBFA64" w:rsidR="006C5D06" w:rsidRPr="002D346B" w:rsidRDefault="006C5D06" w:rsidP="002D346B">
            <w:pPr>
              <w:pStyle w:val="Paragrafoelenco"/>
              <w:numPr>
                <w:ilvl w:val="0"/>
                <w:numId w:val="62"/>
              </w:numPr>
              <w:autoSpaceDE w:val="0"/>
              <w:autoSpaceDN w:val="0"/>
              <w:adjustRightInd w:val="0"/>
              <w:jc w:val="left"/>
              <w:rPr>
                <w:rFonts w:eastAsiaTheme="minorHAnsi" w:cs="Calibri"/>
                <w:color w:val="000000"/>
                <w:sz w:val="18"/>
                <w:szCs w:val="18"/>
                <w:lang w:eastAsia="en-US"/>
              </w:rPr>
            </w:pPr>
            <w:r w:rsidRPr="002D346B">
              <w:rPr>
                <w:rFonts w:eastAsiaTheme="minorHAnsi" w:cs="Calibri"/>
                <w:color w:val="000000"/>
                <w:sz w:val="18"/>
                <w:szCs w:val="18"/>
                <w:lang w:eastAsia="en-US"/>
              </w:rPr>
              <w:t>Tutti gli altri costi = opzioni semplificate in materia di costi</w:t>
            </w:r>
          </w:p>
        </w:tc>
        <w:tc>
          <w:tcPr>
            <w:tcW w:w="3402" w:type="dxa"/>
            <w:shd w:val="solid" w:color="FFFFCC" w:fill="auto"/>
            <w:vAlign w:val="center"/>
          </w:tcPr>
          <w:p w14:paraId="718885E5" w14:textId="59F10EF7" w:rsidR="006C5D06" w:rsidRPr="002D346B" w:rsidRDefault="006C5D06" w:rsidP="002D346B">
            <w:pPr>
              <w:pStyle w:val="Paragrafoelenco"/>
              <w:numPr>
                <w:ilvl w:val="0"/>
                <w:numId w:val="62"/>
              </w:numPr>
              <w:autoSpaceDE w:val="0"/>
              <w:autoSpaceDN w:val="0"/>
              <w:adjustRightInd w:val="0"/>
              <w:jc w:val="left"/>
              <w:rPr>
                <w:rFonts w:eastAsiaTheme="minorHAnsi" w:cs="Calibri"/>
                <w:color w:val="000000"/>
                <w:sz w:val="18"/>
                <w:szCs w:val="18"/>
                <w:lang w:eastAsia="en-US"/>
              </w:rPr>
            </w:pPr>
            <w:r w:rsidRPr="002D346B">
              <w:rPr>
                <w:rFonts w:eastAsiaTheme="minorHAnsi" w:cs="Calibri"/>
                <w:color w:val="000000"/>
                <w:sz w:val="18"/>
                <w:szCs w:val="18"/>
                <w:lang w:eastAsia="en-US"/>
              </w:rPr>
              <w:t>Se del caso, le retribuzioni e le indennità versate ai partecipanti a titolo del FESR possono essere pagate sulla base dei costi reali (= costi ammissibili aggiuntivi)</w:t>
            </w:r>
          </w:p>
        </w:tc>
      </w:tr>
    </w:tbl>
    <w:p w14:paraId="0FE8E293" w14:textId="7A8AC3D3" w:rsidR="001A2EC7" w:rsidRPr="00B526F3" w:rsidRDefault="001A2EC7">
      <w:pPr>
        <w:spacing w:after="160" w:line="259" w:lineRule="auto"/>
        <w:jc w:val="left"/>
      </w:pPr>
      <w:r w:rsidRPr="00B526F3">
        <w:br w:type="page"/>
      </w:r>
    </w:p>
    <w:p w14:paraId="65B90248" w14:textId="77777777" w:rsidR="00EF74C4" w:rsidRPr="00B526F3" w:rsidRDefault="00EF74C4" w:rsidP="00180981"/>
    <w:p w14:paraId="2CEA0192" w14:textId="023C0CBE" w:rsidR="00EF74C4" w:rsidRPr="00B526F3" w:rsidRDefault="00EF74C4" w:rsidP="00EF74C4">
      <w:pPr>
        <w:pStyle w:val="Titolo2"/>
      </w:pPr>
      <w:r w:rsidRPr="00B526F3">
        <w:fldChar w:fldCharType="begin"/>
      </w:r>
      <w:r w:rsidRPr="00B526F3">
        <w:instrText xml:space="preserve"> AUTONUMLGL   </w:instrText>
      </w:r>
      <w:bookmarkStart w:id="5" w:name="_Toc189753933"/>
      <w:r w:rsidRPr="00B526F3">
        <w:fldChar w:fldCharType="end"/>
      </w:r>
      <w:r w:rsidRPr="00B526F3">
        <w:tab/>
        <w:t>Definizione di un metodo di calcolo giusto, equo e verificabile</w:t>
      </w:r>
      <w:bookmarkEnd w:id="5"/>
    </w:p>
    <w:p w14:paraId="1CFDC670" w14:textId="03B813CF" w:rsidR="00EF74C4" w:rsidRPr="00B526F3" w:rsidRDefault="00425DB7" w:rsidP="00EF74C4">
      <w:r w:rsidRPr="00B526F3">
        <w:t>Ai fini della definizione di costi unitari (Unità di costo standard, UCS), tassi forfettari o importi forfettari, una delle soluzioni praticabili sulla base del regolamento è la definizione di un metodo attraverso il quale definire gli stessi.</w:t>
      </w:r>
    </w:p>
    <w:p w14:paraId="782E0743" w14:textId="1EA1EB7A" w:rsidR="00425DB7" w:rsidRPr="00B526F3" w:rsidRDefault="00425DB7" w:rsidP="00EF74C4">
      <w:r w:rsidRPr="00B526F3">
        <w:t xml:space="preserve">Tale metodo, per assicurarne la conformità al RDC, deve essere </w:t>
      </w:r>
    </w:p>
    <w:p w14:paraId="48F2E999" w14:textId="63C1B6C3" w:rsidR="00425DB7" w:rsidRPr="00B526F3" w:rsidRDefault="00425DB7" w:rsidP="00AC1336">
      <w:pPr>
        <w:pStyle w:val="Paragrafoelenco"/>
        <w:numPr>
          <w:ilvl w:val="0"/>
          <w:numId w:val="59"/>
        </w:numPr>
      </w:pPr>
      <w:r w:rsidRPr="00B05E60">
        <w:rPr>
          <w:b/>
          <w:bCs/>
        </w:rPr>
        <w:t>Giusto</w:t>
      </w:r>
      <w:r w:rsidRPr="00B526F3">
        <w:t>: tale requisito di ottiene definendo un metodo basato su calcoli ragionevoli, basato sulla realtà senza il ricorso a soluzioni eccessive o estreme</w:t>
      </w:r>
    </w:p>
    <w:p w14:paraId="7083FB82" w14:textId="52ADC3F5" w:rsidR="00425DB7" w:rsidRPr="00B526F3" w:rsidRDefault="00425DB7" w:rsidP="00AC1336">
      <w:pPr>
        <w:pStyle w:val="Paragrafoelenco"/>
        <w:numPr>
          <w:ilvl w:val="0"/>
          <w:numId w:val="59"/>
        </w:numPr>
      </w:pPr>
      <w:r w:rsidRPr="00B05E60">
        <w:rPr>
          <w:b/>
          <w:bCs/>
        </w:rPr>
        <w:t>Equo</w:t>
      </w:r>
      <w:r w:rsidRPr="00B526F3">
        <w:t>: nel senso che non deve produrre distinzioni artificiose tra i Beneficiari – eventuali trattamenti differenziati devono basarsi su considerazioni oggettive, ovvero sulle caratteristiche oggettive dei beneficiari</w:t>
      </w:r>
    </w:p>
    <w:p w14:paraId="78AF2968" w14:textId="2B4943E8" w:rsidR="00425DB7" w:rsidRPr="00B526F3" w:rsidRDefault="00425DB7" w:rsidP="00AC1336">
      <w:pPr>
        <w:pStyle w:val="Paragrafoelenco"/>
        <w:numPr>
          <w:ilvl w:val="0"/>
          <w:numId w:val="59"/>
        </w:numPr>
      </w:pPr>
      <w:r w:rsidRPr="00B05E60">
        <w:rPr>
          <w:b/>
          <w:bCs/>
        </w:rPr>
        <w:t>Verificabile</w:t>
      </w:r>
      <w:r w:rsidRPr="00B526F3">
        <w:t>: ciò si traduce nella possibilità di argomentare circa le basi logiche su cui poggia l’OSC – quest’ultimo elemento è essenziale sotto il profilo della necessità di assicurare la conformità con il principio della sana gestione finanziaria.</w:t>
      </w:r>
    </w:p>
    <w:p w14:paraId="5A8DF090" w14:textId="77777777" w:rsidR="00B05E60" w:rsidRDefault="00B05E60" w:rsidP="00EF74C4"/>
    <w:p w14:paraId="1C1F1FD3" w14:textId="755EEAD9" w:rsidR="00425DB7" w:rsidRPr="00B526F3" w:rsidRDefault="00425DB7" w:rsidP="00EF74C4">
      <w:r w:rsidRPr="00B526F3">
        <w:t>A quest’ultimo proposito la Comunicazione  chiarisce che</w:t>
      </w:r>
      <w:r w:rsidR="00B05E60">
        <w:t>:</w:t>
      </w:r>
    </w:p>
    <w:p w14:paraId="003A6B8B" w14:textId="77777777" w:rsidR="00EF74C4" w:rsidRPr="00B526F3" w:rsidRDefault="00EF74C4" w:rsidP="00EF74C4"/>
    <w:p w14:paraId="19FC1B5C" w14:textId="77777777" w:rsidR="00425DB7" w:rsidRPr="00B526F3" w:rsidRDefault="00425DB7" w:rsidP="00425DB7">
      <w:pPr>
        <w:rPr>
          <w:i/>
          <w:iCs/>
        </w:rPr>
      </w:pPr>
      <w:r w:rsidRPr="00B526F3">
        <w:t>“</w:t>
      </w:r>
      <w:r w:rsidRPr="00B526F3">
        <w:rPr>
          <w:i/>
          <w:iCs/>
        </w:rPr>
        <w:t>L’organismo che determina il metodo di calcolo dell’opzione semplificata in materia di costi dovrebbe documentare come minimo:</w:t>
      </w:r>
    </w:p>
    <w:p w14:paraId="77B25782" w14:textId="4DBDD664" w:rsidR="00425DB7" w:rsidRPr="00B526F3" w:rsidRDefault="00425DB7" w:rsidP="00425DB7">
      <w:pPr>
        <w:pStyle w:val="Paragrafoelenco"/>
        <w:numPr>
          <w:ilvl w:val="0"/>
          <w:numId w:val="9"/>
        </w:numPr>
        <w:rPr>
          <w:i/>
          <w:iCs/>
        </w:rPr>
      </w:pPr>
      <w:r w:rsidRPr="00B526F3">
        <w:rPr>
          <w:i/>
          <w:iCs/>
        </w:rPr>
        <w:t>la descrizione del metodo di calcolo, comprese le principali fasi del calcolo stesso;</w:t>
      </w:r>
    </w:p>
    <w:p w14:paraId="21825F51" w14:textId="72B3F3A2" w:rsidR="00425DB7" w:rsidRPr="00B526F3" w:rsidRDefault="00425DB7" w:rsidP="00425DB7">
      <w:pPr>
        <w:pStyle w:val="Paragrafoelenco"/>
        <w:numPr>
          <w:ilvl w:val="0"/>
          <w:numId w:val="9"/>
        </w:numPr>
        <w:rPr>
          <w:i/>
          <w:iCs/>
        </w:rPr>
      </w:pPr>
      <w:r w:rsidRPr="00B526F3">
        <w:rPr>
          <w:i/>
          <w:iCs/>
        </w:rPr>
        <w:t>le fonti dei dati usati per l’analisi e per i calcoli, compresa una valutazione della pertinenza dei dati rispetto alle operazioni previste, nonché una valutazione della qualità dei dati;</w:t>
      </w:r>
    </w:p>
    <w:p w14:paraId="34E05756" w14:textId="79609E85" w:rsidR="00425DB7" w:rsidRPr="00B526F3" w:rsidRDefault="00425DB7" w:rsidP="00425DB7">
      <w:pPr>
        <w:pStyle w:val="Paragrafoelenco"/>
        <w:numPr>
          <w:ilvl w:val="0"/>
          <w:numId w:val="9"/>
        </w:numPr>
      </w:pPr>
      <w:r w:rsidRPr="00B526F3">
        <w:rPr>
          <w:i/>
          <w:iCs/>
        </w:rPr>
        <w:t>il calcolo stesso volto a determinare il valore dell’opzione semplificata in materia di costi</w:t>
      </w:r>
      <w:r w:rsidRPr="00B526F3">
        <w:t>”</w:t>
      </w:r>
      <w:r w:rsidR="00B05E60">
        <w:t>.</w:t>
      </w:r>
    </w:p>
    <w:p w14:paraId="30CCF3ED" w14:textId="77777777" w:rsidR="00425DB7" w:rsidRPr="00B526F3" w:rsidRDefault="00425DB7" w:rsidP="00425DB7"/>
    <w:p w14:paraId="142D9C08" w14:textId="63F0F5D8" w:rsidR="00425DB7" w:rsidRPr="00B526F3" w:rsidRDefault="004E2A98" w:rsidP="00425DB7">
      <w:r w:rsidRPr="00B526F3">
        <w:t>Il regolamento individua tre modalità, cfr. par. precedente, per la definizione di un metodo.</w:t>
      </w:r>
    </w:p>
    <w:p w14:paraId="59DE923F" w14:textId="77777777" w:rsidR="004E2A98" w:rsidRPr="00B526F3" w:rsidRDefault="004E2A98" w:rsidP="00425DB7"/>
    <w:p w14:paraId="6854D90E" w14:textId="7C09A974" w:rsidR="004E2A98" w:rsidRPr="00B526F3" w:rsidRDefault="004E2A98">
      <w:pPr>
        <w:pStyle w:val="Paragrafoelenco"/>
        <w:numPr>
          <w:ilvl w:val="0"/>
          <w:numId w:val="10"/>
        </w:numPr>
      </w:pPr>
      <w:r w:rsidRPr="00B526F3">
        <w:rPr>
          <w:b/>
          <w:bCs/>
          <w:u w:val="single"/>
        </w:rPr>
        <w:t>sulla base di dati statistici, altre informazioni obiettive o valutazioni di esperti</w:t>
      </w:r>
      <w:r w:rsidRPr="00B526F3">
        <w:t xml:space="preserve"> – i dati statistici possono venire ricavati da statistiche ISTAT, fonti dell’Unione o altre fonti statistiche affidabili. Per altre informazioni dovrebbe farsi riferimento a indagini, analisi e/o ricerche di mercato e infine, per quanto alla valutazione di esperti, dovrebbe farsi riferimento alle valutazioni di soggetti che dispongono di </w:t>
      </w:r>
      <w:r w:rsidR="00B4092D" w:rsidRPr="00B526F3">
        <w:t>adeguate</w:t>
      </w:r>
      <w:r w:rsidRPr="00B526F3">
        <w:t xml:space="preserve"> conoscenze</w:t>
      </w:r>
      <w:r w:rsidR="00B4092D" w:rsidRPr="00B526F3">
        <w:t xml:space="preserve"> e competenze in merito ad un determinato settore o branca del sapere;</w:t>
      </w:r>
    </w:p>
    <w:p w14:paraId="1A17EF91" w14:textId="0E8B4220" w:rsidR="004E2A98" w:rsidRPr="00B526F3" w:rsidRDefault="004E2A98">
      <w:pPr>
        <w:pStyle w:val="Paragrafoelenco"/>
        <w:numPr>
          <w:ilvl w:val="0"/>
          <w:numId w:val="10"/>
        </w:numPr>
      </w:pPr>
      <w:r w:rsidRPr="00B526F3">
        <w:rPr>
          <w:b/>
          <w:bCs/>
          <w:u w:val="single"/>
        </w:rPr>
        <w:t>sulla base di dati storici verificati dei singoli beneficiari</w:t>
      </w:r>
      <w:r w:rsidR="00A552BD" w:rsidRPr="00B526F3">
        <w:t xml:space="preserve"> – si tratta di un metodo che privilegia l’analisi dei dati contabili del beneficiario relativamente ai costi sostenuti in un periodo minimo che dovrebbe essere relativo almeno agli ultimi tre anni. Nel definire un metodo su queste basi, il metodo dovrebbe identificare:</w:t>
      </w:r>
    </w:p>
    <w:p w14:paraId="6D5DE396" w14:textId="08669EC6" w:rsidR="00A552BD" w:rsidRPr="00B526F3" w:rsidRDefault="00A552BD">
      <w:pPr>
        <w:pStyle w:val="Paragrafoelenco"/>
        <w:numPr>
          <w:ilvl w:val="0"/>
          <w:numId w:val="11"/>
        </w:numPr>
        <w:tabs>
          <w:tab w:val="left" w:pos="993"/>
        </w:tabs>
        <w:ind w:left="993" w:hanging="284"/>
      </w:pPr>
      <w:r w:rsidRPr="00B526F3">
        <w:t>le categorie di costi coperti;</w:t>
      </w:r>
    </w:p>
    <w:p w14:paraId="45F0E003" w14:textId="27C36BC1" w:rsidR="00A552BD" w:rsidRPr="00B526F3" w:rsidRDefault="00A552BD">
      <w:pPr>
        <w:pStyle w:val="Paragrafoelenco"/>
        <w:numPr>
          <w:ilvl w:val="0"/>
          <w:numId w:val="11"/>
        </w:numPr>
        <w:tabs>
          <w:tab w:val="left" w:pos="993"/>
        </w:tabs>
        <w:ind w:left="993" w:hanging="284"/>
      </w:pPr>
      <w:r w:rsidRPr="00B526F3">
        <w:t>il metodo di calcolo usato;</w:t>
      </w:r>
    </w:p>
    <w:p w14:paraId="02062FBE" w14:textId="1B037EBF" w:rsidR="00A552BD" w:rsidRPr="00B526F3" w:rsidRDefault="00A552BD">
      <w:pPr>
        <w:pStyle w:val="Paragrafoelenco"/>
        <w:numPr>
          <w:ilvl w:val="0"/>
          <w:numId w:val="11"/>
        </w:numPr>
        <w:tabs>
          <w:tab w:val="left" w:pos="993"/>
        </w:tabs>
        <w:ind w:left="993" w:hanging="284"/>
      </w:pPr>
      <w:r w:rsidRPr="00B526F3">
        <w:t>la lunghezza delle serie</w:t>
      </w:r>
      <w:r w:rsidR="00915567" w:rsidRPr="00B526F3">
        <w:t>, ovvero il ricorso ai dati relativi al triennio precedente come sopra accennato. Un periodo inferiore potrebbe essere accettabile se il caso di specie lo richiede;</w:t>
      </w:r>
    </w:p>
    <w:p w14:paraId="4812BC5E" w14:textId="3D2A183D" w:rsidR="00915567" w:rsidRPr="00B526F3" w:rsidRDefault="00915567">
      <w:pPr>
        <w:pStyle w:val="Paragrafoelenco"/>
        <w:numPr>
          <w:ilvl w:val="0"/>
          <w:numId w:val="11"/>
        </w:numPr>
        <w:tabs>
          <w:tab w:val="left" w:pos="993"/>
        </w:tabs>
        <w:ind w:left="993" w:hanging="284"/>
      </w:pPr>
      <w:r w:rsidRPr="00B526F3">
        <w:t>l’importo di riferimento da applicarsi, ad esempio i costi medi nel periodo di riferimento o i costi registrati negli ultimi anni;</w:t>
      </w:r>
    </w:p>
    <w:p w14:paraId="15745DBE" w14:textId="724D1BED" w:rsidR="00915567" w:rsidRPr="00B526F3" w:rsidRDefault="00915567">
      <w:pPr>
        <w:pStyle w:val="Paragrafoelenco"/>
        <w:numPr>
          <w:ilvl w:val="0"/>
          <w:numId w:val="11"/>
        </w:numPr>
        <w:tabs>
          <w:tab w:val="left" w:pos="993"/>
        </w:tabs>
        <w:ind w:left="993" w:hanging="284"/>
      </w:pPr>
      <w:r w:rsidRPr="00B526F3">
        <w:t>gli eventuali adeguamenti necessari per aggiornare l’importo di riferimento. L’adeguamento può essere applicato per aggiornare i costi degli esercizi precedenti ai prezzi correnti</w:t>
      </w:r>
    </w:p>
    <w:p w14:paraId="15180395" w14:textId="2FE48467" w:rsidR="004E2A98" w:rsidRPr="00B526F3" w:rsidRDefault="004E2A98">
      <w:pPr>
        <w:pStyle w:val="Paragrafoelenco"/>
        <w:numPr>
          <w:ilvl w:val="0"/>
          <w:numId w:val="10"/>
        </w:numPr>
      </w:pPr>
      <w:r w:rsidRPr="00B526F3">
        <w:rPr>
          <w:b/>
          <w:bCs/>
          <w:u w:val="single"/>
        </w:rPr>
        <w:t>in base all’applicazione delle normali prassi di contabilità dei costi dei singoli beneficiari</w:t>
      </w:r>
      <w:r w:rsidR="00915567" w:rsidRPr="00B526F3">
        <w:t xml:space="preserve"> – si fa in questo caso riferimento all’ordinario procedere del Beneficiario per la tenuta della contabilità – pertanto si dovrà far riferimento alle norme ed ai principi contabili applicabili. Nell’utilizzo di tali dati bisognerà avere cura, con riferimento al carattere giusto ed equo del metodo</w:t>
      </w:r>
      <w:r w:rsidR="003C7719" w:rsidRPr="00B526F3">
        <w:t>, di distinguere costi effettivi (“costi realmente sostenuti dal beneficiario”) e quelli determinati sulla base delle prassi contabili del beneficiario: al fine di assicurare parità di trattamento, il metodo dovrebbe pertanto definire “condizioni minime” applicabili a tutti i beneficiari e assicurare l’esclusione di costi non ammissibili.</w:t>
      </w:r>
    </w:p>
    <w:p w14:paraId="48AAB134" w14:textId="77777777" w:rsidR="002E3C78" w:rsidRPr="00B526F3" w:rsidRDefault="002E3C78" w:rsidP="002E3C78">
      <w:pPr>
        <w:pStyle w:val="Titolo2"/>
      </w:pPr>
      <w:r w:rsidRPr="00B526F3">
        <w:fldChar w:fldCharType="begin"/>
      </w:r>
      <w:r w:rsidRPr="00B526F3">
        <w:instrText xml:space="preserve"> AUTONUMLGL   </w:instrText>
      </w:r>
      <w:bookmarkStart w:id="6" w:name="_Toc189753934"/>
      <w:r w:rsidRPr="00B526F3">
        <w:fldChar w:fldCharType="end"/>
      </w:r>
      <w:r w:rsidRPr="00B526F3">
        <w:tab/>
        <w:t>Il progetto di bilancio</w:t>
      </w:r>
      <w:bookmarkEnd w:id="6"/>
    </w:p>
    <w:p w14:paraId="43952044" w14:textId="7ACECDE3" w:rsidR="004660FE" w:rsidRPr="00B526F3" w:rsidRDefault="006E4881" w:rsidP="004660FE">
      <w:r w:rsidRPr="00B526F3">
        <w:t>Il ricorso al progetto di bilancio configura una soluzione applicabile necessariamente caso per caso.</w:t>
      </w:r>
    </w:p>
    <w:p w14:paraId="7F3AE0F1" w14:textId="3606FCB6" w:rsidR="006E4881" w:rsidRPr="00B526F3" w:rsidRDefault="006E4881" w:rsidP="004660FE">
      <w:r w:rsidRPr="00B526F3">
        <w:t xml:space="preserve">Il RDC pone un limite per l’applicazione di tale metodo al </w:t>
      </w:r>
      <w:r w:rsidRPr="00B526F3">
        <w:rPr>
          <w:b/>
          <w:bCs/>
        </w:rPr>
        <w:t>costo totale dell’operazione</w:t>
      </w:r>
      <w:r w:rsidRPr="00B526F3">
        <w:t xml:space="preserve"> interessata: tale importo </w:t>
      </w:r>
      <w:r w:rsidRPr="00B526F3">
        <w:rPr>
          <w:b/>
          <w:bCs/>
          <w:u w:val="single"/>
        </w:rPr>
        <w:t>non deve essere superiore a € 200.000</w:t>
      </w:r>
      <w:r w:rsidRPr="00B526F3">
        <w:t>.</w:t>
      </w:r>
    </w:p>
    <w:p w14:paraId="1F4AFF7C" w14:textId="0B6C83BA" w:rsidR="00675F1D" w:rsidRPr="00B526F3" w:rsidRDefault="00876465" w:rsidP="004660FE">
      <w:r w:rsidRPr="00B526F3">
        <w:t xml:space="preserve">Il progetto di bilancio deve essere </w:t>
      </w:r>
      <w:r w:rsidRPr="00B526F3">
        <w:rPr>
          <w:b/>
          <w:bCs/>
        </w:rPr>
        <w:t>valutato ex ante dal</w:t>
      </w:r>
      <w:r w:rsidR="00DA7989">
        <w:rPr>
          <w:b/>
          <w:bCs/>
        </w:rPr>
        <w:t xml:space="preserve"> CdR</w:t>
      </w:r>
      <w:r w:rsidRPr="00B526F3">
        <w:t xml:space="preserve"> con le stesse modalità applicate nel caso di ricorso al rimborso a costi reali sulla base di </w:t>
      </w:r>
      <w:r w:rsidRPr="00B526F3">
        <w:rPr>
          <w:b/>
          <w:bCs/>
        </w:rPr>
        <w:t>parametri o livelli massimi di costi</w:t>
      </w:r>
      <w:r w:rsidRPr="00B526F3">
        <w:t xml:space="preserve"> quale elemento </w:t>
      </w:r>
      <w:r w:rsidR="00675F1D" w:rsidRPr="00B526F3">
        <w:t>d</w:t>
      </w:r>
      <w:r w:rsidRPr="00B526F3">
        <w:t xml:space="preserve">i confronto per lo meno in relazione ai più rilevanti costi iscritti a bilancio. </w:t>
      </w:r>
    </w:p>
    <w:p w14:paraId="739DC72C" w14:textId="5D063F66" w:rsidR="00876465" w:rsidRPr="00B526F3" w:rsidRDefault="00876465" w:rsidP="004660FE">
      <w:r w:rsidRPr="00B526F3">
        <w:t xml:space="preserve">Ai fini del riconoscimento del sostegno, </w:t>
      </w:r>
      <w:r w:rsidR="00DA7989">
        <w:t>il CdR</w:t>
      </w:r>
      <w:r w:rsidRPr="00B526F3">
        <w:t xml:space="preserve"> può anche definire requisiti minimi attesi in ordine alla qualità degli esiti attesi dall’operazione. In questo caso è bene tenere presente che </w:t>
      </w:r>
      <w:r w:rsidRPr="00B526F3">
        <w:rPr>
          <w:b/>
          <w:bCs/>
        </w:rPr>
        <w:t>il progetto di bilancio non fa parte del documento che specifica le condizioni per il sostegno</w:t>
      </w:r>
      <w:r w:rsidRPr="00B526F3">
        <w:t xml:space="preserve">. </w:t>
      </w:r>
    </w:p>
    <w:p w14:paraId="041D70BC" w14:textId="77777777" w:rsidR="006E4881" w:rsidRPr="00B526F3" w:rsidRDefault="006E4881" w:rsidP="004660FE"/>
    <w:p w14:paraId="2A7C8877" w14:textId="5BFEB79F" w:rsidR="00675F1D" w:rsidRPr="00B526F3" w:rsidRDefault="006C50B7" w:rsidP="004660FE">
      <w:pPr>
        <w:rPr>
          <w:b/>
          <w:bCs/>
          <w:i/>
          <w:iCs/>
        </w:rPr>
      </w:pPr>
      <w:r w:rsidRPr="00B526F3">
        <w:rPr>
          <w:b/>
          <w:bCs/>
          <w:i/>
          <w:iCs/>
        </w:rPr>
        <w:t>Esempio di applicazione</w:t>
      </w:r>
      <w:r w:rsidR="006A7139">
        <w:rPr>
          <w:b/>
          <w:bCs/>
          <w:i/>
          <w:iCs/>
        </w:rPr>
        <w:t xml:space="preserve"> </w:t>
      </w:r>
    </w:p>
    <w:p w14:paraId="2CAB3141" w14:textId="23EB2E83" w:rsidR="006C50B7" w:rsidRPr="00B526F3" w:rsidRDefault="006C50B7" w:rsidP="004660FE"/>
    <w:p w14:paraId="5EE0DC5A" w14:textId="6CB5528E" w:rsidR="006C50B7" w:rsidRPr="00B526F3" w:rsidRDefault="00A87102" w:rsidP="004660FE">
      <w:r w:rsidRPr="00B526F3">
        <w:rPr>
          <w:noProof/>
        </w:rPr>
        <w:drawing>
          <wp:inline distT="0" distB="0" distL="0" distR="0" wp14:anchorId="71F36754" wp14:editId="25804AAF">
            <wp:extent cx="6120130" cy="3137535"/>
            <wp:effectExtent l="0" t="0" r="0" b="5715"/>
            <wp:docPr id="24227375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273759" name=""/>
                    <pic:cNvPicPr/>
                  </pic:nvPicPr>
                  <pic:blipFill>
                    <a:blip r:embed="rId8"/>
                    <a:stretch>
                      <a:fillRect/>
                    </a:stretch>
                  </pic:blipFill>
                  <pic:spPr>
                    <a:xfrm>
                      <a:off x="0" y="0"/>
                      <a:ext cx="6120130" cy="3137535"/>
                    </a:xfrm>
                    <a:prstGeom prst="rect">
                      <a:avLst/>
                    </a:prstGeom>
                  </pic:spPr>
                </pic:pic>
              </a:graphicData>
            </a:graphic>
          </wp:inline>
        </w:drawing>
      </w:r>
    </w:p>
    <w:p w14:paraId="3DD506E5" w14:textId="53B752BB" w:rsidR="00A87102" w:rsidRPr="00B526F3" w:rsidRDefault="004660FE" w:rsidP="004660FE">
      <w:pPr>
        <w:pStyle w:val="Titolo2"/>
      </w:pPr>
      <w:r w:rsidRPr="00B526F3">
        <w:fldChar w:fldCharType="begin"/>
      </w:r>
      <w:r w:rsidRPr="00B526F3">
        <w:instrText xml:space="preserve"> AUTONUMLGL   </w:instrText>
      </w:r>
      <w:bookmarkStart w:id="7" w:name="_Toc189753935"/>
      <w:r w:rsidRPr="00B526F3">
        <w:fldChar w:fldCharType="end"/>
      </w:r>
      <w:r w:rsidRPr="00B526F3">
        <w:tab/>
        <w:t>Metodi in uso</w:t>
      </w:r>
      <w:bookmarkEnd w:id="7"/>
    </w:p>
    <w:p w14:paraId="4E2EB937" w14:textId="7EE5F223" w:rsidR="00A87102" w:rsidRPr="00B526F3" w:rsidRDefault="00A87102" w:rsidP="00A87102">
      <w:r w:rsidRPr="00B526F3">
        <w:t>La soluzione che per comodità viene qui definita come “metodi in uso”, rimanda alla possibilità di cui all’Art. 53(3)(c) e (d)RDC</w:t>
      </w:r>
      <w:r w:rsidR="00984B99" w:rsidRPr="00B526F3">
        <w:rPr>
          <w:rStyle w:val="Rimandonotaapidipagina"/>
        </w:rPr>
        <w:footnoteReference w:id="9"/>
      </w:r>
      <w:r w:rsidRPr="00B526F3">
        <w:t xml:space="preserve">. </w:t>
      </w:r>
    </w:p>
    <w:p w14:paraId="7F0A7D59" w14:textId="55D73AA8" w:rsidR="00A87102" w:rsidRPr="00B526F3" w:rsidRDefault="00984B99" w:rsidP="00A87102">
      <w:r w:rsidRPr="00B526F3">
        <w:t>Si tratta sostanzialmente del ricorso all’applicazione a operazioni di un dato PR di soluzioni per l’applicazione di OSC per come le stesse sono definite dall’UE – ad esempio nel contesto dell’attuazione di un Programma a gestione diretta – o dallo Stato membro nel contesto di meccanismi di concessione di sovvenzioni (indipendentemente dal fatto che tale metodo sia utilizzato nel caso di Programmi cofinanziati o meno).</w:t>
      </w:r>
    </w:p>
    <w:p w14:paraId="3C275219" w14:textId="77777777" w:rsidR="00984B99" w:rsidRPr="00B526F3" w:rsidRDefault="00984B99" w:rsidP="00A87102"/>
    <w:p w14:paraId="5592DC07" w14:textId="516D4C8D" w:rsidR="00984B99" w:rsidRPr="00B526F3" w:rsidRDefault="00984B99" w:rsidP="00A87102">
      <w:r w:rsidRPr="00B526F3">
        <w:t>Condizioni essenziali per l’utilizzo di tali metodi:</w:t>
      </w:r>
    </w:p>
    <w:p w14:paraId="5A6DDF5E" w14:textId="77777777" w:rsidR="00984B99" w:rsidRPr="00B526F3" w:rsidRDefault="00984B99">
      <w:pPr>
        <w:pStyle w:val="Paragrafoelenco"/>
        <w:numPr>
          <w:ilvl w:val="0"/>
          <w:numId w:val="12"/>
        </w:numPr>
      </w:pPr>
      <w:r w:rsidRPr="00B526F3">
        <w:t>Le OSC dovrebbero essere "in vigore" nel programma di riferimento (ad esempio, utilizzate in un bando di un programma nazionale);</w:t>
      </w:r>
    </w:p>
    <w:p w14:paraId="441F0C3D" w14:textId="5EA0E769" w:rsidR="00984B99" w:rsidRPr="00B526F3" w:rsidRDefault="00984B99">
      <w:pPr>
        <w:pStyle w:val="Paragrafoelenco"/>
        <w:numPr>
          <w:ilvl w:val="0"/>
          <w:numId w:val="12"/>
        </w:numPr>
      </w:pPr>
      <w:r w:rsidRPr="00B526F3">
        <w:t>Va riutilizzata la totalità del metodo (nessuna flessibilità!) — NON solo l'importo;</w:t>
      </w:r>
    </w:p>
    <w:p w14:paraId="4288BD4C" w14:textId="5DDA8C72" w:rsidR="00984B99" w:rsidRPr="00B526F3" w:rsidRDefault="00984B99">
      <w:pPr>
        <w:pStyle w:val="Paragrafoelenco"/>
        <w:numPr>
          <w:ilvl w:val="0"/>
          <w:numId w:val="12"/>
        </w:numPr>
      </w:pPr>
      <w:r w:rsidRPr="00B526F3">
        <w:t>Metodo aggiornato: il programma mutuatario dovrebbe utilizzare l’ultima versione disponibile delle OSC</w:t>
      </w:r>
    </w:p>
    <w:p w14:paraId="580C062B" w14:textId="77777777" w:rsidR="007F53C3" w:rsidRPr="00B526F3" w:rsidRDefault="007F53C3">
      <w:pPr>
        <w:spacing w:after="160" w:line="259" w:lineRule="auto"/>
        <w:jc w:val="left"/>
      </w:pPr>
    </w:p>
    <w:p w14:paraId="1561B795" w14:textId="1514EC83" w:rsidR="008F5918" w:rsidRDefault="008F5918" w:rsidP="00FE2C4D">
      <w:r w:rsidRPr="006901CE">
        <w:t xml:space="preserve">I Centri di Responsabilità, effettuate autonomamente le opportune verifiche, </w:t>
      </w:r>
      <w:r w:rsidR="00F2444A" w:rsidRPr="00A801C9">
        <w:t>dovranno/</w:t>
      </w:r>
      <w:r w:rsidRPr="00A801C9">
        <w:t>potranno</w:t>
      </w:r>
      <w:r w:rsidRPr="006901CE">
        <w:t xml:space="preserve"> condividere il metodo individuato con l’AcAdG</w:t>
      </w:r>
      <w:r w:rsidR="00F2444A" w:rsidRPr="00A801C9">
        <w:t>, anche con il supporto del NVVIP</w:t>
      </w:r>
      <w:r w:rsidR="00F2444A" w:rsidRPr="006901CE">
        <w:t>.</w:t>
      </w:r>
    </w:p>
    <w:p w14:paraId="5EC2103D" w14:textId="3AEEEAC0" w:rsidR="00F2444A" w:rsidRDefault="00F33668" w:rsidP="00B3291A">
      <w:pPr>
        <w:spacing w:before="120"/>
      </w:pPr>
      <w:r>
        <w:t>Si riportano di seguito, a titolo esemplificativo e non esaustivo, alcuni metodi già in uso.</w:t>
      </w:r>
    </w:p>
    <w:p w14:paraId="04219EB2" w14:textId="279B928E" w:rsidR="007F53C3" w:rsidRPr="00B526F3" w:rsidRDefault="00F33668" w:rsidP="004F1D0C">
      <w:pPr>
        <w:spacing w:before="120"/>
      </w:pPr>
      <w:r>
        <w:rPr>
          <w:b/>
          <w:bCs/>
          <w:color w:val="2F5496" w:themeColor="accent1" w:themeShade="BF"/>
        </w:rPr>
        <w:t>E</w:t>
      </w:r>
      <w:r w:rsidR="00FE2C4D" w:rsidRPr="00B526F3">
        <w:rPr>
          <w:b/>
          <w:bCs/>
          <w:color w:val="2F5496" w:themeColor="accent1" w:themeShade="BF"/>
        </w:rPr>
        <w:t>sempio</w:t>
      </w:r>
      <w:r w:rsidR="00FE2C4D" w:rsidRPr="00B526F3">
        <w:rPr>
          <w:color w:val="2F5496" w:themeColor="accent1" w:themeShade="BF"/>
        </w:rPr>
        <w:t xml:space="preserve"> </w:t>
      </w:r>
      <w:r>
        <w:rPr>
          <w:color w:val="2F5496" w:themeColor="accent1" w:themeShade="BF"/>
        </w:rPr>
        <w:t xml:space="preserve">1 - </w:t>
      </w:r>
      <w:r>
        <w:t>M</w:t>
      </w:r>
      <w:r w:rsidR="00FE2C4D" w:rsidRPr="00B526F3">
        <w:t>etodo di cui al DECRETO 4 gennaio 20</w:t>
      </w:r>
      <w:r w:rsidR="004F1D0C">
        <w:t>24</w:t>
      </w:r>
      <w:r w:rsidR="00FE2C4D" w:rsidRPr="00B526F3">
        <w:t xml:space="preserve"> del </w:t>
      </w:r>
      <w:r w:rsidR="004F1D0C">
        <w:t xml:space="preserve">Ministero delle Imprese e del made in Italy e </w:t>
      </w:r>
      <w:r w:rsidR="00FE2C4D" w:rsidRPr="00B526F3">
        <w:t xml:space="preserve">Ministero </w:t>
      </w:r>
      <w:r w:rsidR="004F1D0C" w:rsidRPr="004F1D0C">
        <w:t>dell’</w:t>
      </w:r>
      <w:r w:rsidR="004F1D0C">
        <w:t>U</w:t>
      </w:r>
      <w:r w:rsidR="004F1D0C" w:rsidRPr="004F1D0C">
        <w:t xml:space="preserve">niversità e della </w:t>
      </w:r>
      <w:r w:rsidR="004F1D0C">
        <w:t>R</w:t>
      </w:r>
      <w:r w:rsidR="004F1D0C" w:rsidRPr="004F1D0C">
        <w:t>icerca</w:t>
      </w:r>
      <w:r w:rsidR="004F1D0C">
        <w:t xml:space="preserve">  </w:t>
      </w:r>
      <w:r w:rsidR="00FE2C4D" w:rsidRPr="00B526F3">
        <w:t>relativo all’adozione di un metodo per la “</w:t>
      </w:r>
      <w:r w:rsidR="004F1D0C">
        <w:t>S</w:t>
      </w:r>
      <w:r w:rsidR="004F1D0C" w:rsidRPr="004F1D0C">
        <w:t xml:space="preserve">emplificazione in materia di costi a valere sui </w:t>
      </w:r>
      <w:r w:rsidR="004F1D0C">
        <w:t>P</w:t>
      </w:r>
      <w:r w:rsidR="004F1D0C" w:rsidRPr="004F1D0C">
        <w:t xml:space="preserve">rogrammi </w:t>
      </w:r>
      <w:r w:rsidR="004F1D0C">
        <w:t>FESR</w:t>
      </w:r>
      <w:r w:rsidR="004F1D0C" w:rsidRPr="004F1D0C">
        <w:t xml:space="preserve"> 2021-2027: aggiornamento delle tabelle standard dei costi unitari per le spese di personale dei progetti di ricerca, sviluppo e innovazione di cui al decreto interministeriale n. 116 del 24 gennaio 2018 e approvazione della relativa nota metodologica</w:t>
      </w:r>
      <w:r w:rsidR="00FE2C4D" w:rsidRPr="00B526F3">
        <w:t>”. Tale metodo individua, con riferimento alle spese di personale dei progetti di ricerca, sviluppo sperimentale e innovazione la seguente tabella di costi orari standard unitari:</w:t>
      </w:r>
    </w:p>
    <w:p w14:paraId="243FC010" w14:textId="77777777" w:rsidR="00FE2C4D" w:rsidRPr="00B526F3" w:rsidRDefault="00FE2C4D" w:rsidP="00FE2C4D"/>
    <w:tbl>
      <w:tblPr>
        <w:tblStyle w:val="Grigliatabella"/>
        <w:tblW w:w="0" w:type="auto"/>
        <w:tblLook w:val="04A0" w:firstRow="1" w:lastRow="0" w:firstColumn="1" w:lastColumn="0" w:noHBand="0" w:noVBand="1"/>
      </w:tblPr>
      <w:tblGrid>
        <w:gridCol w:w="2407"/>
        <w:gridCol w:w="2407"/>
        <w:gridCol w:w="2407"/>
        <w:gridCol w:w="2407"/>
      </w:tblGrid>
      <w:tr w:rsidR="00FE2C4D" w:rsidRPr="00B526F3" w14:paraId="666E7396" w14:textId="77777777" w:rsidTr="00FE2C4D">
        <w:tc>
          <w:tcPr>
            <w:tcW w:w="2407" w:type="dxa"/>
            <w:vMerge w:val="restart"/>
            <w:shd w:val="clear" w:color="auto" w:fill="2F5496" w:themeFill="accent1" w:themeFillShade="BF"/>
            <w:vAlign w:val="center"/>
          </w:tcPr>
          <w:p w14:paraId="220F417D" w14:textId="1C5CC1F1" w:rsidR="00FE2C4D" w:rsidRPr="00B526F3" w:rsidRDefault="00FE2C4D" w:rsidP="00FE2C4D">
            <w:pPr>
              <w:jc w:val="center"/>
              <w:rPr>
                <w:b/>
                <w:bCs/>
                <w:color w:val="FFFFFF" w:themeColor="background1"/>
              </w:rPr>
            </w:pPr>
            <w:r w:rsidRPr="00B526F3">
              <w:rPr>
                <w:b/>
                <w:bCs/>
                <w:color w:val="FFFFFF" w:themeColor="background1"/>
              </w:rPr>
              <w:t>Fascia di costo</w:t>
            </w:r>
          </w:p>
        </w:tc>
        <w:tc>
          <w:tcPr>
            <w:tcW w:w="7221" w:type="dxa"/>
            <w:gridSpan w:val="3"/>
            <w:shd w:val="clear" w:color="auto" w:fill="2F5496" w:themeFill="accent1" w:themeFillShade="BF"/>
          </w:tcPr>
          <w:p w14:paraId="4983F583" w14:textId="3CF02744" w:rsidR="00FE2C4D" w:rsidRPr="00B526F3" w:rsidRDefault="00FE2C4D" w:rsidP="00FE2C4D">
            <w:pPr>
              <w:jc w:val="center"/>
              <w:rPr>
                <w:b/>
                <w:bCs/>
                <w:color w:val="FFFFFF" w:themeColor="background1"/>
              </w:rPr>
            </w:pPr>
            <w:r w:rsidRPr="00B526F3">
              <w:rPr>
                <w:b/>
                <w:bCs/>
                <w:color w:val="FFFFFF" w:themeColor="background1"/>
              </w:rPr>
              <w:t>Beneficiario</w:t>
            </w:r>
          </w:p>
        </w:tc>
      </w:tr>
      <w:tr w:rsidR="00FE2C4D" w:rsidRPr="00B526F3" w14:paraId="76ACD79E" w14:textId="77777777" w:rsidTr="00FE2C4D">
        <w:tc>
          <w:tcPr>
            <w:tcW w:w="2407" w:type="dxa"/>
            <w:vMerge/>
            <w:shd w:val="clear" w:color="auto" w:fill="2F5496" w:themeFill="accent1" w:themeFillShade="BF"/>
          </w:tcPr>
          <w:p w14:paraId="365528E5" w14:textId="77777777" w:rsidR="00FE2C4D" w:rsidRPr="00B526F3" w:rsidRDefault="00FE2C4D" w:rsidP="00FE2C4D">
            <w:pPr>
              <w:jc w:val="center"/>
              <w:rPr>
                <w:b/>
                <w:bCs/>
                <w:color w:val="FFFFFF" w:themeColor="background1"/>
              </w:rPr>
            </w:pPr>
          </w:p>
        </w:tc>
        <w:tc>
          <w:tcPr>
            <w:tcW w:w="2407" w:type="dxa"/>
            <w:shd w:val="clear" w:color="auto" w:fill="2F5496" w:themeFill="accent1" w:themeFillShade="BF"/>
          </w:tcPr>
          <w:p w14:paraId="7C0EA624" w14:textId="66043996" w:rsidR="00FE2C4D" w:rsidRPr="00B526F3" w:rsidRDefault="00FE2C4D" w:rsidP="00FE2C4D">
            <w:pPr>
              <w:jc w:val="center"/>
              <w:rPr>
                <w:b/>
                <w:bCs/>
                <w:color w:val="FFFFFF" w:themeColor="background1"/>
              </w:rPr>
            </w:pPr>
            <w:r w:rsidRPr="00B526F3">
              <w:rPr>
                <w:b/>
                <w:bCs/>
                <w:color w:val="FFFFFF" w:themeColor="background1"/>
              </w:rPr>
              <w:t>Imprese (€)</w:t>
            </w:r>
          </w:p>
        </w:tc>
        <w:tc>
          <w:tcPr>
            <w:tcW w:w="2407" w:type="dxa"/>
            <w:shd w:val="clear" w:color="auto" w:fill="2F5496" w:themeFill="accent1" w:themeFillShade="BF"/>
          </w:tcPr>
          <w:p w14:paraId="5908A1D2" w14:textId="6725871C" w:rsidR="00FE2C4D" w:rsidRPr="00B526F3" w:rsidRDefault="00FE2C4D" w:rsidP="00FE2C4D">
            <w:pPr>
              <w:jc w:val="center"/>
              <w:rPr>
                <w:b/>
                <w:bCs/>
                <w:color w:val="FFFFFF" w:themeColor="background1"/>
              </w:rPr>
            </w:pPr>
            <w:r w:rsidRPr="00B526F3">
              <w:rPr>
                <w:b/>
                <w:bCs/>
                <w:color w:val="FFFFFF" w:themeColor="background1"/>
              </w:rPr>
              <w:t>Università (€)</w:t>
            </w:r>
          </w:p>
        </w:tc>
        <w:tc>
          <w:tcPr>
            <w:tcW w:w="2407" w:type="dxa"/>
            <w:shd w:val="clear" w:color="auto" w:fill="2F5496" w:themeFill="accent1" w:themeFillShade="BF"/>
          </w:tcPr>
          <w:p w14:paraId="3B34E11D" w14:textId="6B731E32" w:rsidR="00FE2C4D" w:rsidRPr="00B526F3" w:rsidRDefault="00FE2C4D" w:rsidP="00FE2C4D">
            <w:pPr>
              <w:jc w:val="center"/>
              <w:rPr>
                <w:b/>
                <w:bCs/>
                <w:color w:val="FFFFFF" w:themeColor="background1"/>
              </w:rPr>
            </w:pPr>
            <w:r w:rsidRPr="00B526F3">
              <w:rPr>
                <w:b/>
                <w:bCs/>
                <w:color w:val="FFFFFF" w:themeColor="background1"/>
              </w:rPr>
              <w:t>EPR (€)</w:t>
            </w:r>
          </w:p>
        </w:tc>
      </w:tr>
      <w:tr w:rsidR="00FE2C4D" w:rsidRPr="00B526F3" w14:paraId="2B2B87D1" w14:textId="77777777" w:rsidTr="00FE2C4D">
        <w:tc>
          <w:tcPr>
            <w:tcW w:w="2407" w:type="dxa"/>
            <w:vAlign w:val="center"/>
          </w:tcPr>
          <w:p w14:paraId="5FD8D08B" w14:textId="37813143" w:rsidR="00FE2C4D" w:rsidRPr="00B526F3" w:rsidRDefault="00FE2C4D" w:rsidP="00FE2C4D">
            <w:pPr>
              <w:jc w:val="center"/>
            </w:pPr>
            <w:r w:rsidRPr="00B526F3">
              <w:t>Alto</w:t>
            </w:r>
          </w:p>
        </w:tc>
        <w:tc>
          <w:tcPr>
            <w:tcW w:w="2407" w:type="dxa"/>
            <w:vAlign w:val="center"/>
          </w:tcPr>
          <w:p w14:paraId="1BC53FFC" w14:textId="16521673" w:rsidR="00FE2C4D" w:rsidRPr="00B526F3" w:rsidRDefault="004F1D0C" w:rsidP="00FE2C4D">
            <w:pPr>
              <w:jc w:val="center"/>
            </w:pPr>
            <w:r>
              <w:t>83</w:t>
            </w:r>
          </w:p>
        </w:tc>
        <w:tc>
          <w:tcPr>
            <w:tcW w:w="2407" w:type="dxa"/>
            <w:vAlign w:val="center"/>
          </w:tcPr>
          <w:p w14:paraId="79347811" w14:textId="6633EA7B" w:rsidR="00FE2C4D" w:rsidRPr="00B526F3" w:rsidRDefault="004F1D0C" w:rsidP="00FE2C4D">
            <w:pPr>
              <w:jc w:val="center"/>
            </w:pPr>
            <w:r>
              <w:t>81</w:t>
            </w:r>
          </w:p>
        </w:tc>
        <w:tc>
          <w:tcPr>
            <w:tcW w:w="2407" w:type="dxa"/>
            <w:vAlign w:val="center"/>
          </w:tcPr>
          <w:p w14:paraId="6CEF15FD" w14:textId="70B74D11" w:rsidR="00FE2C4D" w:rsidRPr="00B526F3" w:rsidRDefault="004F1D0C" w:rsidP="00FE2C4D">
            <w:pPr>
              <w:jc w:val="center"/>
            </w:pPr>
            <w:r>
              <w:t>61</w:t>
            </w:r>
          </w:p>
        </w:tc>
      </w:tr>
      <w:tr w:rsidR="00FE2C4D" w:rsidRPr="00B526F3" w14:paraId="4E986256" w14:textId="77777777" w:rsidTr="00FE2C4D">
        <w:tc>
          <w:tcPr>
            <w:tcW w:w="2407" w:type="dxa"/>
            <w:vAlign w:val="center"/>
          </w:tcPr>
          <w:p w14:paraId="40062EF9" w14:textId="7F41B3C8" w:rsidR="00FE2C4D" w:rsidRPr="00B526F3" w:rsidRDefault="00FE2C4D" w:rsidP="00FE2C4D">
            <w:pPr>
              <w:jc w:val="center"/>
            </w:pPr>
            <w:r w:rsidRPr="00B526F3">
              <w:t>Medio</w:t>
            </w:r>
          </w:p>
        </w:tc>
        <w:tc>
          <w:tcPr>
            <w:tcW w:w="2407" w:type="dxa"/>
            <w:vAlign w:val="center"/>
          </w:tcPr>
          <w:p w14:paraId="4844DC53" w14:textId="431483F4" w:rsidR="00FE2C4D" w:rsidRPr="00B526F3" w:rsidRDefault="004F1D0C" w:rsidP="00FE2C4D">
            <w:pPr>
              <w:jc w:val="center"/>
            </w:pPr>
            <w:r>
              <w:t>47</w:t>
            </w:r>
          </w:p>
        </w:tc>
        <w:tc>
          <w:tcPr>
            <w:tcW w:w="2407" w:type="dxa"/>
            <w:vAlign w:val="center"/>
          </w:tcPr>
          <w:p w14:paraId="14C53C23" w14:textId="05170E5F" w:rsidR="00FE2C4D" w:rsidRPr="00B526F3" w:rsidRDefault="004F1D0C" w:rsidP="00FE2C4D">
            <w:pPr>
              <w:jc w:val="center"/>
            </w:pPr>
            <w:r>
              <w:t>53</w:t>
            </w:r>
          </w:p>
        </w:tc>
        <w:tc>
          <w:tcPr>
            <w:tcW w:w="2407" w:type="dxa"/>
            <w:vAlign w:val="center"/>
          </w:tcPr>
          <w:p w14:paraId="6DA0D857" w14:textId="608F071C" w:rsidR="00FE2C4D" w:rsidRPr="00B526F3" w:rsidRDefault="004F1D0C" w:rsidP="00FE2C4D">
            <w:pPr>
              <w:jc w:val="center"/>
            </w:pPr>
            <w:r>
              <w:t>36</w:t>
            </w:r>
          </w:p>
        </w:tc>
      </w:tr>
      <w:tr w:rsidR="00FE2C4D" w:rsidRPr="00B526F3" w14:paraId="286D384F" w14:textId="77777777" w:rsidTr="00FE2C4D">
        <w:tc>
          <w:tcPr>
            <w:tcW w:w="2407" w:type="dxa"/>
            <w:vAlign w:val="center"/>
          </w:tcPr>
          <w:p w14:paraId="47016A43" w14:textId="514F791F" w:rsidR="00FE2C4D" w:rsidRPr="00B526F3" w:rsidRDefault="00FE2C4D" w:rsidP="00FE2C4D">
            <w:pPr>
              <w:jc w:val="center"/>
            </w:pPr>
            <w:r w:rsidRPr="00B526F3">
              <w:t>Basso</w:t>
            </w:r>
          </w:p>
        </w:tc>
        <w:tc>
          <w:tcPr>
            <w:tcW w:w="2407" w:type="dxa"/>
            <w:vAlign w:val="center"/>
          </w:tcPr>
          <w:p w14:paraId="1C567132" w14:textId="6A10AAA4" w:rsidR="00FE2C4D" w:rsidRPr="00B526F3" w:rsidRDefault="004F1D0C" w:rsidP="00FE2C4D">
            <w:pPr>
              <w:jc w:val="center"/>
            </w:pPr>
            <w:r>
              <w:t>30</w:t>
            </w:r>
          </w:p>
        </w:tc>
        <w:tc>
          <w:tcPr>
            <w:tcW w:w="2407" w:type="dxa"/>
            <w:vAlign w:val="center"/>
          </w:tcPr>
          <w:p w14:paraId="3B41515F" w14:textId="1C6F3DE1" w:rsidR="00FE2C4D" w:rsidRPr="00B526F3" w:rsidRDefault="004F1D0C" w:rsidP="00FE2C4D">
            <w:pPr>
              <w:jc w:val="center"/>
            </w:pPr>
            <w:r>
              <w:t>34</w:t>
            </w:r>
          </w:p>
        </w:tc>
        <w:tc>
          <w:tcPr>
            <w:tcW w:w="2407" w:type="dxa"/>
            <w:vAlign w:val="center"/>
          </w:tcPr>
          <w:p w14:paraId="53DB8AEB" w14:textId="72A5B495" w:rsidR="00FE2C4D" w:rsidRPr="00B526F3" w:rsidRDefault="004F1D0C" w:rsidP="00FE2C4D">
            <w:pPr>
              <w:jc w:val="center"/>
            </w:pPr>
            <w:r>
              <w:t>32</w:t>
            </w:r>
          </w:p>
        </w:tc>
      </w:tr>
    </w:tbl>
    <w:p w14:paraId="760EC6EB" w14:textId="77777777" w:rsidR="00FE2C4D" w:rsidRPr="00B526F3" w:rsidRDefault="00FE2C4D" w:rsidP="00FE2C4D"/>
    <w:p w14:paraId="7DF87148" w14:textId="5A0D9BC8" w:rsidR="00FE2C4D" w:rsidRPr="00B526F3" w:rsidRDefault="00FE2C4D" w:rsidP="00FE2C4D">
      <w:pPr>
        <w:spacing w:after="160" w:line="259" w:lineRule="auto"/>
        <w:jc w:val="left"/>
      </w:pPr>
      <w:r w:rsidRPr="00B526F3">
        <w:t>Le fasce di costo corrispondenti alle tre tipologie di soggetto beneficiario sono definite come di seguito:</w:t>
      </w:r>
    </w:p>
    <w:p w14:paraId="54176941" w14:textId="67C7413A" w:rsidR="00FE2C4D" w:rsidRPr="00B526F3" w:rsidRDefault="00FE2C4D">
      <w:pPr>
        <w:pStyle w:val="Paragrafoelenco"/>
        <w:numPr>
          <w:ilvl w:val="0"/>
          <w:numId w:val="13"/>
        </w:numPr>
        <w:spacing w:after="160" w:line="259" w:lineRule="auto"/>
        <w:jc w:val="left"/>
      </w:pPr>
      <w:r w:rsidRPr="00B526F3">
        <w:t>per i soggetti “IMPRESE”: i) Alto, per i livelli dirigenziali, ii) Medio, per i livelli di quadro, iii) Basso, per i livelli di impiegato / operaio</w:t>
      </w:r>
    </w:p>
    <w:p w14:paraId="53298ED8" w14:textId="2D479104" w:rsidR="00FE2C4D" w:rsidRPr="00B526F3" w:rsidRDefault="00FE2C4D">
      <w:pPr>
        <w:pStyle w:val="Paragrafoelenco"/>
        <w:numPr>
          <w:ilvl w:val="0"/>
          <w:numId w:val="13"/>
        </w:numPr>
        <w:spacing w:after="160" w:line="259" w:lineRule="auto"/>
        <w:jc w:val="left"/>
      </w:pPr>
      <w:r w:rsidRPr="00B526F3">
        <w:t>per i soggetti “UNIVERSITA”: i) Alto, per Professore Ordinario, ii) Medio, per Professore Associato</w:t>
      </w:r>
      <w:r w:rsidR="0086083F" w:rsidRPr="00B526F3">
        <w:t xml:space="preserve">, iii) </w:t>
      </w:r>
      <w:r w:rsidRPr="00B526F3">
        <w:t>Basso, per Ricercatore / Tecnico Amministrativo</w:t>
      </w:r>
    </w:p>
    <w:p w14:paraId="453CA86F" w14:textId="7870D062" w:rsidR="00FE2C4D" w:rsidRPr="00B526F3" w:rsidRDefault="00FE2C4D">
      <w:pPr>
        <w:pStyle w:val="Paragrafoelenco"/>
        <w:numPr>
          <w:ilvl w:val="0"/>
          <w:numId w:val="13"/>
        </w:numPr>
        <w:spacing w:after="160" w:line="259" w:lineRule="auto"/>
        <w:jc w:val="left"/>
      </w:pPr>
      <w:r w:rsidRPr="00B526F3">
        <w:t>per i soggetti “EPR”:</w:t>
      </w:r>
      <w:r w:rsidR="0086083F" w:rsidRPr="00B526F3">
        <w:t xml:space="preserve"> i) </w:t>
      </w:r>
      <w:r w:rsidRPr="00B526F3">
        <w:t>Alto, per Dirigente di Ricerca e Tecnologo di I livello / Primo Ricercatore e Tecnologo II° livello</w:t>
      </w:r>
      <w:r w:rsidR="0086083F" w:rsidRPr="00B526F3">
        <w:t xml:space="preserve">, ii) </w:t>
      </w:r>
      <w:r w:rsidRPr="00B526F3">
        <w:t>Medio, per Ricercatore e Tecnologo di III livello</w:t>
      </w:r>
      <w:r w:rsidR="0086083F" w:rsidRPr="00B526F3">
        <w:t xml:space="preserve">, iii) </w:t>
      </w:r>
      <w:r w:rsidRPr="00B526F3">
        <w:t>Basso, per Ricercatore e Tecnologo di IV, V, VI e VII livello/</w:t>
      </w:r>
      <w:r w:rsidR="0086083F" w:rsidRPr="00B526F3">
        <w:t>c</w:t>
      </w:r>
      <w:r w:rsidRPr="00B526F3">
        <w:t>ollaboratore Tecnico (CTER) / Collaboratore Amministrativo</w:t>
      </w:r>
    </w:p>
    <w:p w14:paraId="5D35FC03" w14:textId="77777777" w:rsidR="00FF5BEA" w:rsidRPr="00B526F3" w:rsidRDefault="00FF5BEA" w:rsidP="00A87102"/>
    <w:p w14:paraId="7859E182" w14:textId="7B442314" w:rsidR="00FF5BEA" w:rsidRPr="00B526F3" w:rsidRDefault="00F33668" w:rsidP="00392FC3">
      <w:r>
        <w:rPr>
          <w:b/>
          <w:bCs/>
          <w:color w:val="2F5496" w:themeColor="accent1" w:themeShade="BF"/>
        </w:rPr>
        <w:t>E</w:t>
      </w:r>
      <w:r w:rsidR="00FF5BEA" w:rsidRPr="00B526F3">
        <w:rPr>
          <w:b/>
          <w:bCs/>
          <w:color w:val="2F5496" w:themeColor="accent1" w:themeShade="BF"/>
        </w:rPr>
        <w:t>sempio</w:t>
      </w:r>
      <w:r w:rsidR="00FF5BEA" w:rsidRPr="00B526F3">
        <w:rPr>
          <w:color w:val="2F5496" w:themeColor="accent1" w:themeShade="BF"/>
        </w:rPr>
        <w:t xml:space="preserve"> </w:t>
      </w:r>
      <w:r>
        <w:rPr>
          <w:color w:val="2F5496" w:themeColor="accent1" w:themeShade="BF"/>
        </w:rPr>
        <w:t xml:space="preserve">2 - </w:t>
      </w:r>
      <w:r>
        <w:t>M</w:t>
      </w:r>
      <w:r w:rsidR="00392FC3" w:rsidRPr="00B526F3">
        <w:t>etodo adottato nel contesto del PON “Infrastrutture e Reti” 2014-2020 dalla relativa AdG concernente le metodologie di semplificazione dei costi indiretti, dei materiali e del personale, ai sensi degli artt. 67 e 68 del Reg. (UE) 1303/2013 nel caso del Beneficiario RFI. Il metodo individua in particolare le seguenti tipologie di OSC in relazione a due diverse tipologie di costo:</w:t>
      </w:r>
    </w:p>
    <w:p w14:paraId="7E625176" w14:textId="77777777" w:rsidR="00392FC3" w:rsidRPr="00B526F3" w:rsidRDefault="00392FC3" w:rsidP="00392FC3"/>
    <w:p w14:paraId="5750C8A5" w14:textId="7EAAD557" w:rsidR="00392FC3" w:rsidRPr="00B526F3" w:rsidRDefault="00392FC3">
      <w:pPr>
        <w:pStyle w:val="Paragrafoelenco"/>
        <w:numPr>
          <w:ilvl w:val="0"/>
          <w:numId w:val="14"/>
        </w:numPr>
      </w:pPr>
      <w:r w:rsidRPr="001B510D">
        <w:rPr>
          <w:b/>
          <w:bCs/>
        </w:rPr>
        <w:t>Costi indiretti</w:t>
      </w:r>
      <w:r w:rsidRPr="00B526F3">
        <w:t>: semplificazione a mezzo dell’utilizzo del tasso forfettario del 15% dei costi diretti ammissibili per il personale, di cui all’art. 68, comma 1, lettera b) del Reg. (UE) 1303/2013</w:t>
      </w:r>
      <w:r w:rsidR="004F1D0C">
        <w:rPr>
          <w:rStyle w:val="Rimandonotaapidipagina"/>
        </w:rPr>
        <w:footnoteReference w:id="10"/>
      </w:r>
      <w:r w:rsidRPr="00B526F3">
        <w:t>;</w:t>
      </w:r>
    </w:p>
    <w:p w14:paraId="45417849" w14:textId="3096DAA7" w:rsidR="00392FC3" w:rsidRPr="00B526F3" w:rsidRDefault="00392FC3">
      <w:pPr>
        <w:pStyle w:val="Paragrafoelenco"/>
        <w:numPr>
          <w:ilvl w:val="0"/>
          <w:numId w:val="14"/>
        </w:numPr>
      </w:pPr>
      <w:r w:rsidRPr="001B510D">
        <w:rPr>
          <w:b/>
          <w:bCs/>
        </w:rPr>
        <w:t>Costi dei materiali e del personale</w:t>
      </w:r>
      <w:r w:rsidRPr="00B526F3">
        <w:t>: semplificazione sulla base dell’utilizzo di tabelle standard di costi unitari stabiliti tramite l’applicazione delle normali prassi di contabilità dei costi del Beneficiario, a norma dell’art. 67, comma 1, lettera b) e comma 5, lettera a), capoverso iii) del Reg. (UE) 1303/2013</w:t>
      </w:r>
      <w:r w:rsidR="004F1D0C">
        <w:rPr>
          <w:rStyle w:val="Rimandonotaapidipagina"/>
        </w:rPr>
        <w:footnoteReference w:id="11"/>
      </w:r>
      <w:r w:rsidRPr="00B526F3">
        <w:t>.</w:t>
      </w:r>
    </w:p>
    <w:p w14:paraId="2BCF268B" w14:textId="77777777" w:rsidR="00392FC3" w:rsidRPr="00B526F3" w:rsidRDefault="00392FC3" w:rsidP="00392FC3"/>
    <w:p w14:paraId="4817AE1B" w14:textId="2EAE08FD" w:rsidR="00392FC3" w:rsidRPr="00B526F3" w:rsidRDefault="00392FC3" w:rsidP="00392FC3">
      <w:r w:rsidRPr="00B526F3">
        <w:t>Fermi restando i necessari aggiornamenti, anche in relazione alle diverse basi giuridiche di riferimento, anche un tale metodo potrebbe essere riutilizzato nel caso di operazioni pertinenti.</w:t>
      </w:r>
    </w:p>
    <w:p w14:paraId="5085CAE6" w14:textId="77777777" w:rsidR="007E42AB" w:rsidRPr="00B526F3" w:rsidRDefault="007E42AB" w:rsidP="00392FC3"/>
    <w:p w14:paraId="36DED719" w14:textId="35675F32" w:rsidR="007E42AB" w:rsidRPr="00B526F3" w:rsidRDefault="007E42AB" w:rsidP="00392FC3">
      <w:r w:rsidRPr="00B526F3">
        <w:t xml:space="preserve">Infine, per quanto ai metodi in uso, attenzione particolare dovrebbe essere dedicata al caso </w:t>
      </w:r>
      <w:r w:rsidR="00A25407">
        <w:t xml:space="preserve">di mutuazione di analisi di </w:t>
      </w:r>
      <w:r w:rsidRPr="00B526F3">
        <w:t>altre amministrazioni regionali: un loro eventuale riuso non può che dipendere dai contenuti del metodo stesso, ovvero, bisognerebbe prestare particolare attenzione all’eventuale “livello locale” dei dati e degli elementi considerati: in quest’ultimo caso, ossia quando dati ed elementi considerati non rimandano ad un contesto nazionale ma locale, il metodo non potrebbe, sic et simpliciter, essere preso in considerazione per una sua applicazione in un contesto regionale diverso da quello di origine.</w:t>
      </w:r>
    </w:p>
    <w:p w14:paraId="03DF98EA" w14:textId="77777777" w:rsidR="00E55C6A" w:rsidRPr="00B526F3" w:rsidRDefault="00E55C6A" w:rsidP="00392FC3"/>
    <w:bookmarkStart w:id="8" w:name="_GoBack"/>
    <w:bookmarkEnd w:id="8"/>
    <w:p w14:paraId="67A3DD4D" w14:textId="123F45CE" w:rsidR="004660FE" w:rsidRPr="00B526F3" w:rsidRDefault="00A87102" w:rsidP="004660FE">
      <w:pPr>
        <w:pStyle w:val="Titolo2"/>
      </w:pPr>
      <w:r w:rsidRPr="00B526F3">
        <w:fldChar w:fldCharType="begin"/>
      </w:r>
      <w:r w:rsidRPr="00B526F3">
        <w:instrText xml:space="preserve"> AUTONUMLGL  \* Arabic  </w:instrText>
      </w:r>
      <w:bookmarkStart w:id="9" w:name="_Toc189753936"/>
      <w:r w:rsidRPr="00B526F3">
        <w:fldChar w:fldCharType="end"/>
      </w:r>
      <w:r w:rsidRPr="00B526F3">
        <w:tab/>
        <w:t xml:space="preserve">Metodi </w:t>
      </w:r>
      <w:r w:rsidR="004660FE" w:rsidRPr="00B526F3">
        <w:t>definiti dal RDC</w:t>
      </w:r>
      <w:bookmarkEnd w:id="9"/>
    </w:p>
    <w:p w14:paraId="575CEA63" w14:textId="0002A384" w:rsidR="002E3C78" w:rsidRPr="00B526F3" w:rsidRDefault="007F53C3" w:rsidP="002E3C78">
      <w:r w:rsidRPr="00B526F3">
        <w:t>Come già accennato al par. 1, il RDC stabilisce diverse soluzioni, sotto forma di tassi forfettari</w:t>
      </w:r>
      <w:r w:rsidR="00E55C6A" w:rsidRPr="00B526F3">
        <w:t>.</w:t>
      </w:r>
    </w:p>
    <w:p w14:paraId="3CCA1043" w14:textId="77777777" w:rsidR="007F53C3" w:rsidRPr="00B526F3" w:rsidRDefault="007F53C3" w:rsidP="002E3C78"/>
    <w:p w14:paraId="3076BD1A" w14:textId="55B87669" w:rsidR="007F53C3" w:rsidRPr="00B526F3" w:rsidRDefault="00E55C6A" w:rsidP="002E3C78">
      <w:r w:rsidRPr="00B526F3">
        <w:t xml:space="preserve">Si tratta di </w:t>
      </w:r>
      <w:r w:rsidR="007F53C3" w:rsidRPr="00B526F3">
        <w:t>OSC che</w:t>
      </w:r>
      <w:r w:rsidRPr="00B526F3">
        <w:t>, generalmente</w:t>
      </w:r>
      <w:r w:rsidR="007F53C3" w:rsidRPr="00B526F3">
        <w:t xml:space="preserve"> non necessitano della definizione di un metodo</w:t>
      </w:r>
      <w:r w:rsidRPr="00B526F3">
        <w:t>: di seguito, schematicamente le opzioni offerte in tal senso dal RDC</w:t>
      </w:r>
      <w:r w:rsidR="00A0737C" w:rsidRPr="00B526F3">
        <w:rPr>
          <w:rStyle w:val="Rimandonotaapidipagina"/>
        </w:rPr>
        <w:footnoteReference w:id="12"/>
      </w:r>
      <w:r w:rsidRPr="00B526F3">
        <w:t>.</w:t>
      </w:r>
    </w:p>
    <w:p w14:paraId="2CA42FD7" w14:textId="77777777" w:rsidR="006A181B" w:rsidRPr="00B526F3" w:rsidRDefault="006A181B" w:rsidP="002E3C78"/>
    <w:p w14:paraId="403A57DB" w14:textId="17ACCBCA" w:rsidR="00E55C6A" w:rsidRPr="00B526F3" w:rsidRDefault="00E55C6A" w:rsidP="002E3C78">
      <w:r w:rsidRPr="00B526F3">
        <w:rPr>
          <w:noProof/>
        </w:rPr>
        <w:drawing>
          <wp:inline distT="0" distB="0" distL="0" distR="0" wp14:anchorId="5B12D1B5" wp14:editId="6C9BF227">
            <wp:extent cx="6120130" cy="2035810"/>
            <wp:effectExtent l="0" t="0" r="0" b="2540"/>
            <wp:docPr id="210037509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375091" name=""/>
                    <pic:cNvPicPr/>
                  </pic:nvPicPr>
                  <pic:blipFill>
                    <a:blip r:embed="rId9"/>
                    <a:stretch>
                      <a:fillRect/>
                    </a:stretch>
                  </pic:blipFill>
                  <pic:spPr>
                    <a:xfrm>
                      <a:off x="0" y="0"/>
                      <a:ext cx="6120130" cy="2035810"/>
                    </a:xfrm>
                    <a:prstGeom prst="rect">
                      <a:avLst/>
                    </a:prstGeom>
                  </pic:spPr>
                </pic:pic>
              </a:graphicData>
            </a:graphic>
          </wp:inline>
        </w:drawing>
      </w:r>
    </w:p>
    <w:p w14:paraId="2A862F95" w14:textId="77777777" w:rsidR="00E55C6A" w:rsidRPr="00B526F3" w:rsidRDefault="00E55C6A" w:rsidP="002E3C78"/>
    <w:p w14:paraId="32E0B0D9" w14:textId="22575B2E" w:rsidR="00E55C6A" w:rsidRPr="00B526F3" w:rsidRDefault="00A0737C" w:rsidP="002E3C78">
      <w:r w:rsidRPr="00B526F3">
        <w:rPr>
          <w:noProof/>
        </w:rPr>
        <w:drawing>
          <wp:inline distT="0" distB="0" distL="0" distR="0" wp14:anchorId="0C51B307" wp14:editId="5EE71540">
            <wp:extent cx="6120130" cy="1848485"/>
            <wp:effectExtent l="0" t="0" r="0" b="0"/>
            <wp:docPr id="44226114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261140" name=""/>
                    <pic:cNvPicPr/>
                  </pic:nvPicPr>
                  <pic:blipFill>
                    <a:blip r:embed="rId10"/>
                    <a:stretch>
                      <a:fillRect/>
                    </a:stretch>
                  </pic:blipFill>
                  <pic:spPr>
                    <a:xfrm>
                      <a:off x="0" y="0"/>
                      <a:ext cx="6120130" cy="1848485"/>
                    </a:xfrm>
                    <a:prstGeom prst="rect">
                      <a:avLst/>
                    </a:prstGeom>
                  </pic:spPr>
                </pic:pic>
              </a:graphicData>
            </a:graphic>
          </wp:inline>
        </w:drawing>
      </w:r>
    </w:p>
    <w:p w14:paraId="58100F43" w14:textId="77777777" w:rsidR="00E55C6A" w:rsidRPr="00B526F3" w:rsidRDefault="00E55C6A" w:rsidP="002E3C78"/>
    <w:p w14:paraId="0BBFB0CC" w14:textId="63FCEAC6" w:rsidR="00E55C6A" w:rsidRPr="00B526F3" w:rsidRDefault="00A0737C" w:rsidP="002E3C78">
      <w:r w:rsidRPr="00B526F3">
        <w:rPr>
          <w:noProof/>
        </w:rPr>
        <w:drawing>
          <wp:inline distT="0" distB="0" distL="0" distR="0" wp14:anchorId="78C7A690" wp14:editId="114D9D31">
            <wp:extent cx="6120130" cy="1784350"/>
            <wp:effectExtent l="0" t="0" r="0" b="6350"/>
            <wp:docPr id="14944928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492844" name=""/>
                    <pic:cNvPicPr/>
                  </pic:nvPicPr>
                  <pic:blipFill>
                    <a:blip r:embed="rId11"/>
                    <a:stretch>
                      <a:fillRect/>
                    </a:stretch>
                  </pic:blipFill>
                  <pic:spPr>
                    <a:xfrm>
                      <a:off x="0" y="0"/>
                      <a:ext cx="6120130" cy="1784350"/>
                    </a:xfrm>
                    <a:prstGeom prst="rect">
                      <a:avLst/>
                    </a:prstGeom>
                  </pic:spPr>
                </pic:pic>
              </a:graphicData>
            </a:graphic>
          </wp:inline>
        </w:drawing>
      </w:r>
    </w:p>
    <w:p w14:paraId="74179256" w14:textId="5E24BB37" w:rsidR="00E55C6A" w:rsidRPr="00B526F3" w:rsidRDefault="000472AC" w:rsidP="002E3C78">
      <w:r w:rsidRPr="00B526F3">
        <w:t xml:space="preserve">Ai fini della applicazione dei tassi forfettari bisogna distinguere tra </w:t>
      </w:r>
    </w:p>
    <w:p w14:paraId="6BFF4515" w14:textId="77777777" w:rsidR="000472AC" w:rsidRPr="00B526F3" w:rsidRDefault="000472AC">
      <w:pPr>
        <w:pStyle w:val="Paragrafoelenco"/>
        <w:numPr>
          <w:ilvl w:val="0"/>
          <w:numId w:val="15"/>
        </w:numPr>
      </w:pPr>
      <w:r w:rsidRPr="00B526F3">
        <w:t>costi ammissibili in base ai quali deve essere applicato il tasso forfettario per calcolare gli importi ammissibili</w:t>
      </w:r>
    </w:p>
    <w:p w14:paraId="3B0A3363" w14:textId="77777777" w:rsidR="000472AC" w:rsidRPr="00B526F3" w:rsidRDefault="000472AC">
      <w:pPr>
        <w:pStyle w:val="Paragrafoelenco"/>
        <w:numPr>
          <w:ilvl w:val="0"/>
          <w:numId w:val="15"/>
        </w:numPr>
      </w:pPr>
      <w:r w:rsidRPr="00B526F3">
        <w:t xml:space="preserve">costi ammissibili che saranno calcolati con il tasso forfettario </w:t>
      </w:r>
    </w:p>
    <w:p w14:paraId="0C23AAD6" w14:textId="7BDD67B3" w:rsidR="000472AC" w:rsidRPr="00B526F3" w:rsidRDefault="000472AC">
      <w:pPr>
        <w:pStyle w:val="Paragrafoelenco"/>
        <w:numPr>
          <w:ilvl w:val="0"/>
          <w:numId w:val="15"/>
        </w:numPr>
      </w:pPr>
      <w:r w:rsidRPr="00B526F3">
        <w:t xml:space="preserve">altre categorie di costi ammissibili: </w:t>
      </w:r>
      <w:r w:rsidR="008C5B27" w:rsidRPr="00B526F3">
        <w:t xml:space="preserve">costi ai quali </w:t>
      </w:r>
      <w:r w:rsidRPr="00B526F3">
        <w:t>non si applica il tasso e</w:t>
      </w:r>
      <w:r w:rsidR="008C5B27" w:rsidRPr="00B526F3">
        <w:t>, pertanto,</w:t>
      </w:r>
      <w:r w:rsidRPr="00B526F3">
        <w:t xml:space="preserve"> i costi non sono calcolati con tasso forfettario</w:t>
      </w:r>
    </w:p>
    <w:p w14:paraId="68D24B27" w14:textId="77777777" w:rsidR="000472AC" w:rsidRPr="00B526F3" w:rsidRDefault="000472AC" w:rsidP="000472AC"/>
    <w:p w14:paraId="4DFCC235" w14:textId="618A0BEC" w:rsidR="000472AC" w:rsidRPr="00B526F3" w:rsidRDefault="000472AC" w:rsidP="000472AC">
      <w:r w:rsidRPr="00B526F3">
        <w:t>Di seguito</w:t>
      </w:r>
      <w:r w:rsidR="004B0D53" w:rsidRPr="00B526F3">
        <w:t>, a titolo di esempio,</w:t>
      </w:r>
      <w:r w:rsidRPr="00B526F3">
        <w:t xml:space="preserve"> uno schema </w:t>
      </w:r>
      <w:r w:rsidR="004B0D53" w:rsidRPr="00B526F3">
        <w:t>di applicazione che contempla la combinazione del tasso forfettario per i costi diretti del personale ex Art. 55(1) RDC con il tasso forfettario per costi indiretti ex Art. 54(a) RDC:</w:t>
      </w:r>
    </w:p>
    <w:p w14:paraId="52AEBA4A" w14:textId="77777777" w:rsidR="000472AC" w:rsidRPr="00B526F3" w:rsidRDefault="000472AC" w:rsidP="002E3C78"/>
    <w:p w14:paraId="334CEA3D" w14:textId="68F7856A" w:rsidR="000472AC" w:rsidRPr="00B526F3" w:rsidRDefault="000472AC" w:rsidP="002E3C78">
      <w:r w:rsidRPr="00B526F3">
        <w:rPr>
          <w:noProof/>
        </w:rPr>
        <w:drawing>
          <wp:inline distT="0" distB="0" distL="0" distR="0" wp14:anchorId="7AC62FFF" wp14:editId="500C1B79">
            <wp:extent cx="6120130" cy="2103755"/>
            <wp:effectExtent l="0" t="0" r="0" b="0"/>
            <wp:docPr id="83983536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835369" name=""/>
                    <pic:cNvPicPr/>
                  </pic:nvPicPr>
                  <pic:blipFill>
                    <a:blip r:embed="rId12"/>
                    <a:stretch>
                      <a:fillRect/>
                    </a:stretch>
                  </pic:blipFill>
                  <pic:spPr>
                    <a:xfrm>
                      <a:off x="0" y="0"/>
                      <a:ext cx="6120130" cy="2103755"/>
                    </a:xfrm>
                    <a:prstGeom prst="rect">
                      <a:avLst/>
                    </a:prstGeom>
                  </pic:spPr>
                </pic:pic>
              </a:graphicData>
            </a:graphic>
          </wp:inline>
        </w:drawing>
      </w:r>
    </w:p>
    <w:p w14:paraId="00EEE2CF" w14:textId="77777777" w:rsidR="000472AC" w:rsidRPr="00B526F3" w:rsidRDefault="000472AC" w:rsidP="002E3C78"/>
    <w:p w14:paraId="402F4547" w14:textId="77777777" w:rsidR="000558B9" w:rsidRPr="00B526F3" w:rsidRDefault="000558B9" w:rsidP="002E3C78"/>
    <w:p w14:paraId="376BD5F4" w14:textId="01F3E460" w:rsidR="000558B9" w:rsidRPr="00B526F3" w:rsidRDefault="000A29A3" w:rsidP="002E3C78">
      <w:r w:rsidRPr="00B526F3">
        <w:rPr>
          <w:noProof/>
        </w:rPr>
        <w:drawing>
          <wp:inline distT="0" distB="0" distL="0" distR="0" wp14:anchorId="048CED94" wp14:editId="2D412FB2">
            <wp:extent cx="6120130" cy="2303780"/>
            <wp:effectExtent l="0" t="0" r="0" b="1270"/>
            <wp:docPr id="211282967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829679" name=""/>
                    <pic:cNvPicPr/>
                  </pic:nvPicPr>
                  <pic:blipFill>
                    <a:blip r:embed="rId13"/>
                    <a:stretch>
                      <a:fillRect/>
                    </a:stretch>
                  </pic:blipFill>
                  <pic:spPr>
                    <a:xfrm>
                      <a:off x="0" y="0"/>
                      <a:ext cx="6120130" cy="2303780"/>
                    </a:xfrm>
                    <a:prstGeom prst="rect">
                      <a:avLst/>
                    </a:prstGeom>
                  </pic:spPr>
                </pic:pic>
              </a:graphicData>
            </a:graphic>
          </wp:inline>
        </w:drawing>
      </w:r>
    </w:p>
    <w:p w14:paraId="71B799A0" w14:textId="77777777" w:rsidR="000558B9" w:rsidRPr="00B526F3" w:rsidRDefault="000558B9" w:rsidP="002E3C78"/>
    <w:p w14:paraId="71C8CF5D" w14:textId="77777777" w:rsidR="000558B9" w:rsidRPr="00B526F3" w:rsidRDefault="000558B9" w:rsidP="002E3C78"/>
    <w:p w14:paraId="47702AE7" w14:textId="77777777" w:rsidR="000A29A3" w:rsidRPr="00B526F3" w:rsidRDefault="000A29A3" w:rsidP="002E3C78"/>
    <w:p w14:paraId="7548DC34" w14:textId="77777777" w:rsidR="000A29A3" w:rsidRPr="00B526F3" w:rsidRDefault="000A29A3" w:rsidP="002E3C78"/>
    <w:p w14:paraId="0958C863" w14:textId="77777777" w:rsidR="000A29A3" w:rsidRPr="00B526F3" w:rsidRDefault="000A29A3" w:rsidP="002E3C78"/>
    <w:p w14:paraId="7C25D273" w14:textId="182013B2" w:rsidR="006A181B" w:rsidRPr="00B526F3" w:rsidRDefault="00FC1968" w:rsidP="002E3C78">
      <w:r w:rsidRPr="00B526F3">
        <w:t xml:space="preserve">Una ulteriore soluzione predefinita dal </w:t>
      </w:r>
      <w:r w:rsidRPr="00B526F3">
        <w:rPr>
          <w:b/>
          <w:bCs/>
        </w:rPr>
        <w:t>RDC</w:t>
      </w:r>
      <w:r w:rsidRPr="00B526F3">
        <w:t xml:space="preserve"> è quella di cui all’</w:t>
      </w:r>
      <w:r w:rsidR="006A181B" w:rsidRPr="00B526F3">
        <w:rPr>
          <w:b/>
          <w:bCs/>
        </w:rPr>
        <w:t>Art. 55(2)</w:t>
      </w:r>
      <w:r w:rsidRPr="00B526F3">
        <w:t xml:space="preserve">. La disposizione consente di determinare i costi diretti per il personale </w:t>
      </w:r>
    </w:p>
    <w:p w14:paraId="01779B1D" w14:textId="77777777" w:rsidR="00FC1968" w:rsidRPr="00B526F3" w:rsidRDefault="00FC1968" w:rsidP="002E3C78"/>
    <w:p w14:paraId="59C84243" w14:textId="75195245" w:rsidR="00FC1968" w:rsidRPr="00B526F3" w:rsidRDefault="00FC1968">
      <w:pPr>
        <w:pStyle w:val="Paragrafoelenco"/>
        <w:numPr>
          <w:ilvl w:val="0"/>
          <w:numId w:val="16"/>
        </w:numPr>
        <w:spacing w:after="160" w:line="259" w:lineRule="auto"/>
        <w:rPr>
          <w:i/>
          <w:iCs/>
        </w:rPr>
      </w:pPr>
      <w:r w:rsidRPr="00B526F3">
        <w:rPr>
          <w:i/>
          <w:iCs/>
        </w:rPr>
        <w:t>dividendo i più recenti costi del lavoro lordi documentati per il personale, se annui, per 1720 ore nel caso di lavoro a tempo pieno, o per la corrispondente quota proporzionale a 1720 ore nel caso di lavoro a tempo parziale;</w:t>
      </w:r>
      <w:r w:rsidRPr="00B526F3">
        <w:t xml:space="preserve"> oppure</w:t>
      </w:r>
    </w:p>
    <w:p w14:paraId="226891D4" w14:textId="0EDEF6E7" w:rsidR="00FC1968" w:rsidRPr="00B526F3" w:rsidRDefault="00FC1968">
      <w:pPr>
        <w:pStyle w:val="Paragrafoelenco"/>
        <w:numPr>
          <w:ilvl w:val="0"/>
          <w:numId w:val="16"/>
        </w:numPr>
        <w:spacing w:after="160" w:line="259" w:lineRule="auto"/>
        <w:rPr>
          <w:i/>
          <w:iCs/>
        </w:rPr>
      </w:pPr>
      <w:r w:rsidRPr="00B526F3">
        <w:rPr>
          <w:i/>
          <w:iCs/>
        </w:rPr>
        <w:t>dividendo i più recenti costi del lavoro lordi documentati per il personale, se mensili, per la media delle ore lavorate mensili della persona interessata in conformità delle norme nazionali applicabili menzionate nel contratto di lavoro o di impiego o nella decisione di nomina (denominati atto di impiego)</w:t>
      </w:r>
    </w:p>
    <w:p w14:paraId="1F1AA7A1" w14:textId="0F367C16" w:rsidR="00FC1968" w:rsidRPr="00B526F3" w:rsidRDefault="001F4ADC" w:rsidP="004B0D53">
      <w:pPr>
        <w:spacing w:after="160" w:line="259" w:lineRule="auto"/>
      </w:pPr>
      <w:r w:rsidRPr="00B526F3">
        <w:t>Le ore di lavoro annue pari a 1.720 ora costituiscono un “tempo di lavoro” standard che non deve essere giustificato. A dover essere giustificato, documentato, è viceversa, il numeratore, ovvero “i più recenti costi lordi”</w:t>
      </w:r>
      <w:r w:rsidR="004B0D53" w:rsidRPr="00B526F3">
        <w:t>: ciò può avvenire mediante documenti contabili, riepiloghi buste paga, riferimento ad accordi o documenti pubblicamente disponibili ecc. Tali documenti non devono essere necessariamente sottoposti a audit ex ante ma devono essere verificabili.</w:t>
      </w:r>
    </w:p>
    <w:p w14:paraId="7DE27A5C" w14:textId="7A9DF7D7" w:rsidR="004B0D53" w:rsidRPr="00B526F3" w:rsidRDefault="004B0D53" w:rsidP="004B0D53">
      <w:pPr>
        <w:spacing w:after="160" w:line="259" w:lineRule="auto"/>
      </w:pPr>
      <w:r w:rsidRPr="00B526F3">
        <w:t>Per quanto riguarda la definizione di costo del lavoro è opportuno considerare che il D.P.R. n° 22/2018</w:t>
      </w:r>
      <w:r w:rsidRPr="00B526F3">
        <w:rPr>
          <w:rStyle w:val="Rimandonotaapidipagina"/>
        </w:rPr>
        <w:footnoteReference w:id="13"/>
      </w:r>
      <w:r w:rsidRPr="00B526F3">
        <w:t xml:space="preserve"> non contiene indicazioni in merito. Pertanto, è indispensabile che il dispositivo che disciplina le condizioni del sostegno definisca chiaramente cosa abbia ad intendersi per “costo del lavoro”, ad esempio come di seguito: </w:t>
      </w:r>
    </w:p>
    <w:p w14:paraId="5B91B98D" w14:textId="32F6CF62" w:rsidR="004B0D53" w:rsidRPr="00B526F3" w:rsidRDefault="004B0D53" w:rsidP="004B0D53">
      <w:pPr>
        <w:spacing w:after="160" w:line="259" w:lineRule="auto"/>
      </w:pPr>
      <w:r w:rsidRPr="00B526F3">
        <w:t>“</w:t>
      </w:r>
      <w:r w:rsidRPr="00B526F3">
        <w:rPr>
          <w:i/>
          <w:iCs/>
        </w:rPr>
        <w:t>costi relativi alla retribuzione lorda prima delle imposte e i contributi obbligatori, quali gli oneri previdenziali e i contributi assistenziali per figli e familiari e relativi a 12 mensilità</w:t>
      </w:r>
      <w:r w:rsidRPr="00B526F3">
        <w:t>”.</w:t>
      </w:r>
    </w:p>
    <w:p w14:paraId="33302DD5" w14:textId="77777777" w:rsidR="004B0D53" w:rsidRPr="00B526F3" w:rsidRDefault="004B0D53" w:rsidP="004B0D53">
      <w:pPr>
        <w:spacing w:after="160" w:line="259" w:lineRule="auto"/>
      </w:pPr>
    </w:p>
    <w:p w14:paraId="2F5B57B3" w14:textId="0047B787" w:rsidR="007F53C3" w:rsidRPr="00B526F3" w:rsidRDefault="00B419C3" w:rsidP="004B0D53">
      <w:pPr>
        <w:spacing w:after="160" w:line="259" w:lineRule="auto"/>
      </w:pPr>
      <w:r w:rsidRPr="00B526F3">
        <w:t>Il RDC contempla infine il caso in cui possano applicarsi “</w:t>
      </w:r>
      <w:r w:rsidRPr="001B510D">
        <w:rPr>
          <w:i/>
          <w:iCs/>
        </w:rPr>
        <w:t>tassi forfettari e metodi specifici previsti dal presente regolamento o dai regolamenti specifici relativi a ciascun fondo o stabiliti sulla base degli stessi</w:t>
      </w:r>
      <w:r w:rsidRPr="00B526F3">
        <w:t>” (</w:t>
      </w:r>
      <w:r w:rsidRPr="00B526F3">
        <w:rPr>
          <w:b/>
          <w:bCs/>
        </w:rPr>
        <w:t>Art. 53(3)(e) RDC</w:t>
      </w:r>
      <w:r w:rsidRPr="00B526F3">
        <w:t xml:space="preserve">). Un esempio relativo a tale fattispecie è il caso del </w:t>
      </w:r>
      <w:r w:rsidR="007F53C3" w:rsidRPr="00B526F3">
        <w:t>Regolamento Delegato (UE) 2023/1676 della CE che integra il regolamento (UE) n. 2021/1060 del Parlamento europeo e del Consiglio per quanto riguarda la definizione di costi unitari, somme forfettarie, tassi forfettari e finanziamenti non collegati ai costi per il rimborso da parte della Commissione agli Stati membri delle spese sostenute</w:t>
      </w:r>
      <w:r w:rsidR="001521D5" w:rsidRPr="00B526F3">
        <w:t xml:space="preserve">. In questo caso, ove le fattispecie trattate dal regolamento delegato fossero pertinenti con il caso di specie, </w:t>
      </w:r>
      <w:r w:rsidR="00D507D2">
        <w:t>il CdR</w:t>
      </w:r>
      <w:r w:rsidR="001521D5" w:rsidRPr="00B526F3">
        <w:t xml:space="preserve"> potrà far ricorso a tali OSC definite su base regolamentare.</w:t>
      </w:r>
    </w:p>
    <w:p w14:paraId="19E72723" w14:textId="637F8D44" w:rsidR="002B008F" w:rsidRPr="00B526F3" w:rsidRDefault="002B008F">
      <w:pPr>
        <w:spacing w:after="160" w:line="259" w:lineRule="auto"/>
        <w:jc w:val="left"/>
      </w:pPr>
      <w:r w:rsidRPr="00B526F3">
        <w:br w:type="page"/>
      </w:r>
    </w:p>
    <w:p w14:paraId="3EA344C1" w14:textId="77777777" w:rsidR="007A0651" w:rsidRPr="00B526F3" w:rsidRDefault="007A0651" w:rsidP="007A0651"/>
    <w:p w14:paraId="59C98880" w14:textId="1E36C41E" w:rsidR="00D174DE" w:rsidRPr="00B526F3" w:rsidRDefault="00D174DE" w:rsidP="00D174DE">
      <w:pPr>
        <w:pStyle w:val="Titolo1"/>
      </w:pPr>
      <w:r w:rsidRPr="00B526F3">
        <w:fldChar w:fldCharType="begin"/>
      </w:r>
      <w:r w:rsidRPr="00B526F3">
        <w:instrText xml:space="preserve"> AUTONUMLGL   </w:instrText>
      </w:r>
      <w:bookmarkStart w:id="10" w:name="_Toc189753937"/>
      <w:r w:rsidRPr="00B526F3">
        <w:fldChar w:fldCharType="end"/>
      </w:r>
      <w:r w:rsidRPr="00B526F3">
        <w:tab/>
        <w:t>Ipotesi di applicazione al PR</w:t>
      </w:r>
      <w:bookmarkEnd w:id="10"/>
    </w:p>
    <w:p w14:paraId="6158547A" w14:textId="1A8764EB" w:rsidR="0095636C" w:rsidRPr="00B526F3" w:rsidRDefault="0095636C" w:rsidP="0095636C">
      <w:r w:rsidRPr="00B526F3">
        <w:t xml:space="preserve">Al presente paragrafo si riporta quanto risultante da una prima disamina di carattere generale condotta sulla scorta dei contenuti del Programma circa le soluzioni percorribili. </w:t>
      </w:r>
    </w:p>
    <w:p w14:paraId="14ADBC57" w14:textId="5A586ED7" w:rsidR="0095636C" w:rsidRPr="00B526F3" w:rsidRDefault="0095636C" w:rsidP="00F328CD">
      <w:pPr>
        <w:spacing w:before="120"/>
      </w:pPr>
      <w:r w:rsidRPr="00B526F3">
        <w:t xml:space="preserve">Si produce, pertanto, </w:t>
      </w:r>
      <w:r w:rsidR="005B40C5">
        <w:t>nelle</w:t>
      </w:r>
      <w:r w:rsidR="005B40C5" w:rsidRPr="00B526F3">
        <w:t xml:space="preserve"> </w:t>
      </w:r>
      <w:r w:rsidRPr="00B526F3">
        <w:t xml:space="preserve">pagine seguenti, un quadro di riepilogo contenente alcune prime ipotesi di applicazione delle OSC. </w:t>
      </w:r>
    </w:p>
    <w:p w14:paraId="490F2AAA" w14:textId="3FE0348D" w:rsidR="003F1FA9" w:rsidRPr="00B526F3" w:rsidRDefault="0095636C" w:rsidP="00F328CD">
      <w:pPr>
        <w:spacing w:before="120"/>
      </w:pPr>
      <w:r w:rsidRPr="00B526F3">
        <w:t xml:space="preserve">Le ipotesi formulate tengono conto, come già accennato, dei pertinenti contenuti delle Azioni del Programma, nonché della possibilità di applicazione di norme in materia di aiuti di stato – in quest’ultimo caso, come noto, se l’applicazione di OSC non costituisce di per sé una criticità, bisognerà sempre tenere in considerazione le condizioni relative alla spesa ammissibile previste dalla base giuridica applicabile per poter concludere circa la soluzione più pertinente in materia di OSC applicabili. </w:t>
      </w:r>
      <w:r w:rsidR="00A25407">
        <w:t>Da ultimo, sono indicate alcune fonti e studi utili alla individuazione/definizione delle OSC.</w:t>
      </w:r>
    </w:p>
    <w:p w14:paraId="77CCB7AC" w14:textId="77777777" w:rsidR="0095636C" w:rsidRPr="00B526F3" w:rsidRDefault="0095636C" w:rsidP="0095636C"/>
    <w:p w14:paraId="74EDD4E4" w14:textId="77777777" w:rsidR="0095636C" w:rsidRPr="00B526F3" w:rsidRDefault="0095636C" w:rsidP="0095636C"/>
    <w:p w14:paraId="6303C08D" w14:textId="13920EAA" w:rsidR="0095636C" w:rsidRPr="00B526F3" w:rsidRDefault="0095636C" w:rsidP="0095636C">
      <w:pPr>
        <w:sectPr w:rsidR="0095636C" w:rsidRPr="00B526F3" w:rsidSect="00855402">
          <w:headerReference w:type="default" r:id="rId14"/>
          <w:footerReference w:type="default" r:id="rId15"/>
          <w:headerReference w:type="first" r:id="rId16"/>
          <w:pgSz w:w="11906" w:h="16838"/>
          <w:pgMar w:top="2268" w:right="1134" w:bottom="1701" w:left="1134" w:header="709" w:footer="709" w:gutter="0"/>
          <w:cols w:space="708"/>
          <w:titlePg/>
          <w:docGrid w:linePitch="360"/>
        </w:sectPr>
      </w:pPr>
    </w:p>
    <w:p w14:paraId="78D366DA" w14:textId="77777777" w:rsidR="003F1FA9" w:rsidRPr="00B526F3" w:rsidRDefault="003F1FA9" w:rsidP="003F1FA9">
      <w:pPr>
        <w:jc w:val="left"/>
      </w:pPr>
    </w:p>
    <w:p w14:paraId="4C3331AA" w14:textId="51E2ADE1" w:rsidR="003F1FA9" w:rsidRPr="00902E61" w:rsidRDefault="00902E61" w:rsidP="00D174DE">
      <w:pPr>
        <w:rPr>
          <w:i/>
          <w:iCs/>
        </w:rPr>
      </w:pPr>
      <w:r w:rsidRPr="00902E61">
        <w:rPr>
          <w:i/>
          <w:iCs/>
        </w:rPr>
        <w:t>Si veda foglio Excel.</w:t>
      </w:r>
    </w:p>
    <w:p w14:paraId="0F2F61A2" w14:textId="77777777" w:rsidR="003F1FA9" w:rsidRPr="00B526F3" w:rsidRDefault="003F1FA9" w:rsidP="00D174DE"/>
    <w:p w14:paraId="3C9F2A3A" w14:textId="77777777" w:rsidR="003F1FA9" w:rsidRPr="00B526F3" w:rsidRDefault="003F1FA9" w:rsidP="00D174DE"/>
    <w:p w14:paraId="16F16761" w14:textId="77777777" w:rsidR="003F1FA9" w:rsidRPr="00B526F3" w:rsidRDefault="003F1FA9" w:rsidP="00D174DE"/>
    <w:p w14:paraId="5A32D78D" w14:textId="77777777" w:rsidR="003F1FA9" w:rsidRPr="00B526F3" w:rsidRDefault="003F1FA9" w:rsidP="00D174DE"/>
    <w:p w14:paraId="21FEC7F4" w14:textId="77777777" w:rsidR="003F1FA9" w:rsidRPr="00B526F3" w:rsidRDefault="003F1FA9" w:rsidP="00D174DE">
      <w:pPr>
        <w:sectPr w:rsidR="003F1FA9" w:rsidRPr="00B526F3" w:rsidSect="00855402">
          <w:pgSz w:w="16838" w:h="11906" w:orient="landscape"/>
          <w:pgMar w:top="2268" w:right="1134" w:bottom="1701" w:left="1134" w:header="709" w:footer="709" w:gutter="0"/>
          <w:cols w:space="708"/>
          <w:docGrid w:linePitch="360"/>
        </w:sectPr>
      </w:pPr>
    </w:p>
    <w:p w14:paraId="455D94D6" w14:textId="77777777" w:rsidR="003F1FA9" w:rsidRPr="00B526F3" w:rsidRDefault="003F1FA9" w:rsidP="00D174DE"/>
    <w:p w14:paraId="20AE9ACD" w14:textId="77777777" w:rsidR="003F1FA9" w:rsidRPr="00B526F3" w:rsidRDefault="003F1FA9" w:rsidP="00D174DE"/>
    <w:p w14:paraId="72EF1958" w14:textId="77777777" w:rsidR="00D174DE" w:rsidRPr="00B526F3" w:rsidRDefault="00D174DE" w:rsidP="00D174DE"/>
    <w:p w14:paraId="7ED4257A" w14:textId="438CB636" w:rsidR="007A0651" w:rsidRPr="00B526F3" w:rsidRDefault="007A0651" w:rsidP="007A0651">
      <w:pPr>
        <w:pStyle w:val="Titolo2"/>
      </w:pPr>
      <w:r w:rsidRPr="00B526F3">
        <w:fldChar w:fldCharType="begin"/>
      </w:r>
      <w:r w:rsidRPr="00B526F3">
        <w:instrText xml:space="preserve"> AUTONUMLGL   </w:instrText>
      </w:r>
      <w:bookmarkStart w:id="11" w:name="_Toc189753938"/>
      <w:r w:rsidRPr="00B526F3">
        <w:fldChar w:fldCharType="end"/>
      </w:r>
      <w:r w:rsidRPr="00B526F3">
        <w:tab/>
        <w:t>Indicazioni in materia di Aiuti di Stato</w:t>
      </w:r>
      <w:bookmarkEnd w:id="11"/>
    </w:p>
    <w:p w14:paraId="41EBBD9A" w14:textId="49057150" w:rsidR="007A0651" w:rsidRPr="00B526F3" w:rsidRDefault="008A35F1" w:rsidP="007A0651">
      <w:r w:rsidRPr="00B526F3">
        <w:t xml:space="preserve">Fatto salvo quanto esposto al par. 1 circa la definizione di aiuti di stato e le implicazioni connesse all’applicazione dell’Art. 53(2) RDC, in termini generali nulla osta </w:t>
      </w:r>
      <w:r w:rsidR="001B510D" w:rsidRPr="00B526F3">
        <w:t>all’applicazione</w:t>
      </w:r>
      <w:r w:rsidRPr="00B526F3">
        <w:t xml:space="preserve"> di OSC nel caso della concessione di aiuti.</w:t>
      </w:r>
    </w:p>
    <w:p w14:paraId="61D51DCF" w14:textId="6DC008E1" w:rsidR="001A2EC7" w:rsidRPr="00B526F3" w:rsidRDefault="008A35F1" w:rsidP="007A0651">
      <w:r w:rsidRPr="00B526F3">
        <w:t>Si tenga presente che in tal senso il Reg. 651/2014 ha da tempo assunto come praticabile tale possibilità. La versione in vigore del Regolamento</w:t>
      </w:r>
      <w:r w:rsidRPr="00B526F3">
        <w:rPr>
          <w:rStyle w:val="Rimandonotaapidipagina"/>
        </w:rPr>
        <w:footnoteReference w:id="14"/>
      </w:r>
      <w:r w:rsidR="005008F9" w:rsidRPr="00B526F3">
        <w:t xml:space="preserve"> prevede quanto segue all’</w:t>
      </w:r>
      <w:r w:rsidR="001A2EC7" w:rsidRPr="00B526F3">
        <w:t xml:space="preserve">Art. 7(1): «[…] </w:t>
      </w:r>
      <w:r w:rsidR="001A2EC7" w:rsidRPr="00B526F3">
        <w:rPr>
          <w:i/>
          <w:iCs/>
        </w:rPr>
        <w:t>Gli importi dei costi ammissibili possono essere calcolati conformemente alle opzioni semplificate in materia di costi, a condizione che l'operazione sia sovvenzionata almeno in parte da un fondo dell'Unione che consente il ricorso a opzioni semplificate in materia di costi e che la categoria dei costi sia ammissibile a norma della pertinente disposizione di esenzione. In tal caso si applicano le opzioni semplificate in materia di costi previste dalle pertinenti norme che disciplinano il fondo dell'Unione</w:t>
      </w:r>
      <w:r w:rsidR="001A2EC7" w:rsidRPr="00B526F3">
        <w:t>. […]»</w:t>
      </w:r>
      <w:r w:rsidRPr="00B526F3">
        <w:t>.</w:t>
      </w:r>
    </w:p>
    <w:p w14:paraId="531E9C70" w14:textId="7DE3D768" w:rsidR="005008F9" w:rsidRPr="00B526F3" w:rsidRDefault="005008F9" w:rsidP="007A0651">
      <w:r w:rsidRPr="00B526F3">
        <w:t>Alla luce di quanto sopra è pertanto rilevante la considerazione relativa alle voci di spesa ammissibile prevista dalla categoria di aiuto GBER che si intende applicare al caso di specie.</w:t>
      </w:r>
    </w:p>
    <w:p w14:paraId="26468845" w14:textId="77777777" w:rsidR="005008F9" w:rsidRPr="00B526F3" w:rsidRDefault="005008F9" w:rsidP="007A0651"/>
    <w:p w14:paraId="55959979" w14:textId="5C6DDD55" w:rsidR="005008F9" w:rsidRPr="00B526F3" w:rsidRDefault="005008F9" w:rsidP="007A0651">
      <w:r w:rsidRPr="00B526F3">
        <w:t xml:space="preserve">Si riporta </w:t>
      </w:r>
      <w:r w:rsidR="00326F38" w:rsidRPr="00B526F3">
        <w:t>alla pagina seguente</w:t>
      </w:r>
      <w:r w:rsidR="002805C6">
        <w:t>, a titolo di esempio,</w:t>
      </w:r>
      <w:r w:rsidRPr="00B526F3">
        <w:t xml:space="preserve"> uno schema di applicazione di OSC al caso di </w:t>
      </w:r>
      <w:r w:rsidR="00326F38" w:rsidRPr="00B526F3">
        <w:t>utilizzo</w:t>
      </w:r>
      <w:r w:rsidRPr="00B526F3">
        <w:t xml:space="preserve"> dell’Art. 25 GBER - Aiuti a progetti di ricerca e sviluppo</w:t>
      </w:r>
      <w:r w:rsidR="00326F38" w:rsidRPr="00B526F3">
        <w:t>: l’esempio individua due scenari tra loro alternativi</w:t>
      </w:r>
      <w:r w:rsidR="00326F38" w:rsidRPr="00B526F3">
        <w:rPr>
          <w:rStyle w:val="Rimandonotaapidipagina"/>
        </w:rPr>
        <w:footnoteReference w:id="15"/>
      </w:r>
      <w:r w:rsidR="00326F38" w:rsidRPr="00B526F3">
        <w:t>.</w:t>
      </w:r>
    </w:p>
    <w:p w14:paraId="3FDEF6FA" w14:textId="77777777" w:rsidR="005008F9" w:rsidRPr="00B526F3" w:rsidRDefault="005008F9" w:rsidP="007A0651"/>
    <w:p w14:paraId="4161AAE7" w14:textId="77777777" w:rsidR="005008F9" w:rsidRPr="00B526F3" w:rsidRDefault="005008F9" w:rsidP="007A0651"/>
    <w:p w14:paraId="5430FDC6" w14:textId="77777777" w:rsidR="00326F38" w:rsidRPr="00B526F3" w:rsidRDefault="00326F38" w:rsidP="007A0651">
      <w:pPr>
        <w:sectPr w:rsidR="00326F38" w:rsidRPr="00B526F3" w:rsidSect="00855402">
          <w:pgSz w:w="11906" w:h="16838"/>
          <w:pgMar w:top="2268" w:right="1134" w:bottom="1701" w:left="1134" w:header="709" w:footer="709" w:gutter="0"/>
          <w:cols w:space="708"/>
          <w:docGrid w:linePitch="360"/>
        </w:sectPr>
      </w:pPr>
    </w:p>
    <w:p w14:paraId="4473364C" w14:textId="37EDA716" w:rsidR="00326F38" w:rsidRPr="00B526F3" w:rsidRDefault="00326F38" w:rsidP="007A0651">
      <w:r w:rsidRPr="00B526F3">
        <w:rPr>
          <w:noProof/>
        </w:rPr>
        <w:drawing>
          <wp:inline distT="0" distB="0" distL="0" distR="0" wp14:anchorId="332FB7F5" wp14:editId="5A4E4E91">
            <wp:extent cx="8250555" cy="4495800"/>
            <wp:effectExtent l="0" t="0" r="0" b="0"/>
            <wp:docPr id="133192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925" name=""/>
                    <pic:cNvPicPr/>
                  </pic:nvPicPr>
                  <pic:blipFill>
                    <a:blip r:embed="rId17"/>
                    <a:stretch>
                      <a:fillRect/>
                    </a:stretch>
                  </pic:blipFill>
                  <pic:spPr>
                    <a:xfrm>
                      <a:off x="0" y="0"/>
                      <a:ext cx="8259386" cy="4500612"/>
                    </a:xfrm>
                    <a:prstGeom prst="rect">
                      <a:avLst/>
                    </a:prstGeom>
                  </pic:spPr>
                </pic:pic>
              </a:graphicData>
            </a:graphic>
          </wp:inline>
        </w:drawing>
      </w:r>
    </w:p>
    <w:p w14:paraId="21C0EE4C" w14:textId="77777777" w:rsidR="00326F38" w:rsidRPr="00B526F3" w:rsidRDefault="00326F38" w:rsidP="007A0651"/>
    <w:p w14:paraId="4040836A" w14:textId="0F4166D9" w:rsidR="00135F68" w:rsidRDefault="00135F68" w:rsidP="007A0651">
      <w:r>
        <w:t>Nota bene: La voce e) delle spese ammissibili comprende sia spese generali che altri costi di esercizio. Per una più puntuale trattazione ai fini del documento, lo schema distingue tra gli “</w:t>
      </w:r>
      <w:r w:rsidRPr="001B510D">
        <w:rPr>
          <w:i/>
          <w:iCs/>
        </w:rPr>
        <w:t>altri costi di esercizio […]</w:t>
      </w:r>
      <w:r>
        <w:t>” e le “</w:t>
      </w:r>
      <w:r w:rsidRPr="001B510D">
        <w:rPr>
          <w:i/>
          <w:iCs/>
        </w:rPr>
        <w:t>spese generali supplementari</w:t>
      </w:r>
      <w:r>
        <w:t>”</w:t>
      </w:r>
    </w:p>
    <w:p w14:paraId="4D527394" w14:textId="77777777" w:rsidR="001B510D" w:rsidRDefault="001B510D" w:rsidP="007A0651"/>
    <w:p w14:paraId="18BB27E2" w14:textId="77777777" w:rsidR="001B510D" w:rsidRDefault="001B510D" w:rsidP="007A0651">
      <w:pPr>
        <w:sectPr w:rsidR="001B510D" w:rsidSect="00B3291A">
          <w:pgSz w:w="16840" w:h="11910" w:orient="landscape"/>
          <w:pgMar w:top="1134" w:right="2268" w:bottom="1134" w:left="1701" w:header="227" w:footer="966" w:gutter="0"/>
          <w:cols w:space="720"/>
          <w:docGrid w:linePitch="272"/>
        </w:sectPr>
      </w:pPr>
    </w:p>
    <w:p w14:paraId="0CB014CB" w14:textId="77777777" w:rsidR="001B510D" w:rsidRDefault="001B510D" w:rsidP="007A0651"/>
    <w:p w14:paraId="418B514F" w14:textId="77777777" w:rsidR="001B510D" w:rsidRDefault="001B510D" w:rsidP="007A0651"/>
    <w:p w14:paraId="53672528" w14:textId="77777777" w:rsidR="008A35F1" w:rsidRPr="00B526F3" w:rsidRDefault="008A35F1" w:rsidP="007A0651"/>
    <w:p w14:paraId="655CD5CC" w14:textId="365A0B35" w:rsidR="00D174DE" w:rsidRDefault="00D174DE" w:rsidP="00D174DE">
      <w:pPr>
        <w:pStyle w:val="Titolo1"/>
      </w:pPr>
      <w:r w:rsidRPr="00B526F3">
        <w:fldChar w:fldCharType="begin"/>
      </w:r>
      <w:r w:rsidRPr="00B526F3">
        <w:instrText xml:space="preserve"> AUTONUMLGL   </w:instrText>
      </w:r>
      <w:bookmarkStart w:id="12" w:name="_Toc189753939"/>
      <w:r w:rsidRPr="00B526F3">
        <w:fldChar w:fldCharType="end"/>
      </w:r>
      <w:r w:rsidRPr="00B526F3">
        <w:tab/>
        <w:t>Esempi</w:t>
      </w:r>
      <w:r w:rsidR="00794F65">
        <w:t>o</w:t>
      </w:r>
      <w:r w:rsidRPr="00B526F3">
        <w:t xml:space="preserve"> di definizione di un metodo</w:t>
      </w:r>
      <w:bookmarkEnd w:id="12"/>
    </w:p>
    <w:p w14:paraId="0595A70C" w14:textId="75FBB809" w:rsidR="009C5F09" w:rsidRDefault="009C5F09" w:rsidP="009C5F09">
      <w:r>
        <w:t xml:space="preserve">La presente sezione riporta </w:t>
      </w:r>
      <w:r w:rsidR="00F33668">
        <w:t xml:space="preserve">un </w:t>
      </w:r>
      <w:r>
        <w:t>esempi</w:t>
      </w:r>
      <w:r w:rsidR="00F33668">
        <w:t>o</w:t>
      </w:r>
      <w:r>
        <w:t xml:space="preserve"> di metodologie applicate nel corso del ciclo di programmazione in chiusura (cfr. par. 3.1 e 3.2) e in applicazione nel contesto dell’attuale ciclo di programmazione.</w:t>
      </w:r>
    </w:p>
    <w:p w14:paraId="47DB190A" w14:textId="54D01AD8" w:rsidR="009C5F09" w:rsidRPr="009C5F09" w:rsidRDefault="009C5F09" w:rsidP="00B3291A">
      <w:pPr>
        <w:spacing w:before="120"/>
      </w:pPr>
      <w:r>
        <w:t xml:space="preserve">Finalità della presente sezione del documento è quella di fornire </w:t>
      </w:r>
      <w:r w:rsidR="00F33668">
        <w:t>un</w:t>
      </w:r>
      <w:r>
        <w:t xml:space="preserve"> esempi</w:t>
      </w:r>
      <w:r w:rsidR="00F33668">
        <w:t>o</w:t>
      </w:r>
      <w:r>
        <w:t xml:space="preserve"> di definizione di un metodo ai sensi di quanto all’Art. 53(3)(a) RDC.</w:t>
      </w:r>
    </w:p>
    <w:p w14:paraId="02461374" w14:textId="2472B04A" w:rsidR="00B526F3" w:rsidRDefault="00B526F3">
      <w:pPr>
        <w:spacing w:after="160" w:line="259" w:lineRule="auto"/>
        <w:jc w:val="left"/>
      </w:pPr>
      <w:bookmarkStart w:id="13" w:name="_TOC_250000"/>
      <w:bookmarkEnd w:id="13"/>
    </w:p>
    <w:p w14:paraId="1EC8E4BD" w14:textId="77777777" w:rsidR="00B526F3" w:rsidRDefault="00B526F3">
      <w:pPr>
        <w:spacing w:after="160" w:line="259" w:lineRule="auto"/>
        <w:jc w:val="left"/>
      </w:pPr>
      <w:r>
        <w:br w:type="page"/>
      </w:r>
    </w:p>
    <w:p w14:paraId="29C96CEC" w14:textId="36C79110" w:rsidR="00B526F3" w:rsidRDefault="00135F68" w:rsidP="00135F68">
      <w:pPr>
        <w:pStyle w:val="Titolo2"/>
      </w:pPr>
      <w:r>
        <w:fldChar w:fldCharType="begin"/>
      </w:r>
      <w:r>
        <w:instrText xml:space="preserve"> AUTONUMLGL   </w:instrText>
      </w:r>
      <w:bookmarkStart w:id="14" w:name="_Toc189753940"/>
      <w:r>
        <w:fldChar w:fldCharType="end"/>
      </w:r>
      <w:r>
        <w:tab/>
      </w:r>
      <w:r w:rsidRPr="00135F68">
        <w:t>Sostegno ai progetti di internazionalizzazione delle PMI e Startup</w:t>
      </w:r>
      <w:r w:rsidRPr="0055655F">
        <w:rPr>
          <w:rStyle w:val="Rimandonotaapidipagina"/>
        </w:rPr>
        <w:footnoteReference w:id="16"/>
      </w:r>
      <w:bookmarkEnd w:id="14"/>
    </w:p>
    <w:p w14:paraId="62B4DA51" w14:textId="77777777" w:rsidR="00801F4F" w:rsidRPr="007658E4" w:rsidRDefault="00801F4F" w:rsidP="00801F4F">
      <w:pPr>
        <w:pBdr>
          <w:top w:val="nil"/>
          <w:left w:val="nil"/>
          <w:bottom w:val="nil"/>
          <w:right w:val="nil"/>
          <w:between w:val="nil"/>
        </w:pBdr>
        <w:rPr>
          <w:color w:val="000000"/>
          <w:szCs w:val="22"/>
        </w:rPr>
      </w:pPr>
      <w:r w:rsidRPr="00D77962">
        <w:rPr>
          <w:color w:val="000000"/>
          <w:szCs w:val="22"/>
        </w:rPr>
        <w:t xml:space="preserve">Il presente caso di studio si riferisce ai progetti di promozione dell’internazionalizzazione attraverso aiuti agli investimenti delle PMI per la realizzazione di iniziative volte alla promozione e lancio di nuovi prodotti o prodotti già esistenti sui mercati esteri, ovvero “Progetti di promozione dell’export attraverso aiuti agli investimenti di imprese, reti, consorzi ed associazioni di PMI (Aiuti alle imprese)”, in particolare favorendo </w:t>
      </w:r>
      <w:r w:rsidRPr="00D77962">
        <w:rPr>
          <w:b/>
          <w:bCs/>
          <w:color w:val="000000"/>
          <w:szCs w:val="22"/>
        </w:rPr>
        <w:t>l’assegnazione di sovvenzioni, in regime de minimis, per la partecipazione delle MPMI alle fiere commerciali internazionali in Italia e all’estero</w:t>
      </w:r>
      <w:r w:rsidRPr="00D77962">
        <w:rPr>
          <w:color w:val="000000"/>
          <w:szCs w:val="22"/>
        </w:rPr>
        <w:t>.</w:t>
      </w:r>
      <w:r w:rsidRPr="007658E4">
        <w:rPr>
          <w:color w:val="000000"/>
          <w:szCs w:val="22"/>
        </w:rPr>
        <w:t xml:space="preserve"> </w:t>
      </w:r>
    </w:p>
    <w:p w14:paraId="4F28437F" w14:textId="77777777" w:rsidR="00801F4F" w:rsidRPr="0016662D" w:rsidRDefault="00801F4F" w:rsidP="00801F4F">
      <w:pPr>
        <w:pBdr>
          <w:top w:val="nil"/>
          <w:left w:val="nil"/>
          <w:bottom w:val="nil"/>
          <w:right w:val="nil"/>
          <w:between w:val="nil"/>
        </w:pBdr>
        <w:rPr>
          <w:szCs w:val="22"/>
        </w:rPr>
      </w:pPr>
      <w:r w:rsidRPr="007658E4">
        <w:rPr>
          <w:color w:val="000000"/>
          <w:szCs w:val="22"/>
        </w:rPr>
        <w:t xml:space="preserve">A tal fine si è quindi proceduto ad un’analisi generale volta all’introduzione e applicazione di opzioni semplificate di calcolo delle sovvenzioni e, in particolare, alla </w:t>
      </w:r>
      <w:r w:rsidRPr="0016662D">
        <w:rPr>
          <w:szCs w:val="22"/>
        </w:rPr>
        <w:t>definizione di tabelle standard di costi unitari e alla quantificazione di somme forfettarie con riferimento ai costi di partecipazione alle fiere commerciali internazionali e altre attività collaterali svolte in Italia e all’estero.</w:t>
      </w:r>
    </w:p>
    <w:p w14:paraId="56B23275" w14:textId="77777777" w:rsidR="00801F4F" w:rsidRPr="007658E4" w:rsidRDefault="00801F4F" w:rsidP="00801F4F">
      <w:pPr>
        <w:pBdr>
          <w:top w:val="nil"/>
          <w:left w:val="nil"/>
          <w:bottom w:val="nil"/>
          <w:right w:val="nil"/>
          <w:between w:val="nil"/>
        </w:pBdr>
        <w:rPr>
          <w:color w:val="000000"/>
          <w:szCs w:val="22"/>
        </w:rPr>
      </w:pPr>
      <w:r w:rsidRPr="007658E4">
        <w:rPr>
          <w:color w:val="000000"/>
          <w:szCs w:val="22"/>
        </w:rPr>
        <w:t>L’obiettivo dell’analisi è, quindi, quello di quantificare e definire un importo di costo standard e/o una somma forfettaria ai sensi dell’art. 67, par. 1, lett. b e c del Reg. UE n. 1303/2013, attraverso un metodo di calcolo giusto, equo e verificabile, basato su dati statistici, altre informazioni oggetti o valutazioni di esperti, conformemente all’art. 67, par. 5 lett. a), sub. I) e ii) dello stesso Regolamento</w:t>
      </w:r>
      <w:r w:rsidRPr="007658E4">
        <w:rPr>
          <w:rStyle w:val="Rimandonotaapidipagina"/>
          <w:color w:val="000000"/>
          <w:szCs w:val="22"/>
        </w:rPr>
        <w:footnoteReference w:id="17"/>
      </w:r>
      <w:r w:rsidRPr="007658E4">
        <w:rPr>
          <w:color w:val="000000"/>
          <w:szCs w:val="22"/>
        </w:rPr>
        <w:t>, a copertura parziale delle spese sostenute dalle imprese per la partecipazione alle manifestazioni fieristiche commerciali</w:t>
      </w:r>
      <w:r>
        <w:rPr>
          <w:color w:val="000000"/>
          <w:szCs w:val="22"/>
        </w:rPr>
        <w:t>.</w:t>
      </w:r>
    </w:p>
    <w:bookmarkStart w:id="15" w:name="_Toc83204180"/>
    <w:bookmarkStart w:id="16" w:name="_Toc149065973"/>
    <w:bookmarkStart w:id="17" w:name="_Toc149133886"/>
    <w:p w14:paraId="0D468BBF" w14:textId="2F2B0A5E" w:rsidR="00801F4F" w:rsidRPr="0055655F" w:rsidRDefault="00801F4F" w:rsidP="00801F4F">
      <w:pPr>
        <w:pStyle w:val="Titolo3"/>
      </w:pPr>
      <w:r>
        <w:fldChar w:fldCharType="begin"/>
      </w:r>
      <w:r>
        <w:instrText xml:space="preserve"> AUTONUMLGL   </w:instrText>
      </w:r>
      <w:bookmarkStart w:id="18" w:name="_Toc189753941"/>
      <w:r>
        <w:fldChar w:fldCharType="end"/>
      </w:r>
      <w:r>
        <w:tab/>
      </w:r>
      <w:r w:rsidRPr="0055655F">
        <w:t>Mo</w:t>
      </w:r>
      <w:r>
        <w:t xml:space="preserve">dalità di determinazione delle </w:t>
      </w:r>
      <w:bookmarkEnd w:id="15"/>
      <w:r>
        <w:t>USC e degli importi forfettari</w:t>
      </w:r>
      <w:bookmarkEnd w:id="16"/>
      <w:bookmarkEnd w:id="17"/>
      <w:bookmarkEnd w:id="18"/>
      <w:r>
        <w:t xml:space="preserve"> </w:t>
      </w:r>
    </w:p>
    <w:p w14:paraId="666BDEAC" w14:textId="77777777" w:rsidR="00801F4F" w:rsidRPr="007658E4" w:rsidRDefault="00801F4F" w:rsidP="00801F4F">
      <w:pPr>
        <w:rPr>
          <w:color w:val="000000"/>
          <w:szCs w:val="22"/>
        </w:rPr>
      </w:pPr>
      <w:r w:rsidRPr="007658E4">
        <w:rPr>
          <w:color w:val="000000"/>
          <w:szCs w:val="22"/>
        </w:rPr>
        <w:t>Al fine di determinare delle ipotesi di tabella di costi standard e di somma forfettarie</w:t>
      </w:r>
      <w:r>
        <w:rPr>
          <w:color w:val="000000"/>
          <w:szCs w:val="22"/>
        </w:rPr>
        <w:t xml:space="preserve"> </w:t>
      </w:r>
      <w:r w:rsidRPr="007658E4">
        <w:rPr>
          <w:color w:val="000000"/>
          <w:szCs w:val="22"/>
        </w:rPr>
        <w:t>per il sostegno alla partecipazione a fiere internazionali</w:t>
      </w:r>
      <w:r>
        <w:rPr>
          <w:color w:val="000000"/>
          <w:szCs w:val="22"/>
        </w:rPr>
        <w:t xml:space="preserve">, nel caso di studio in oggetto e, quindi, in riferimento allo specifico Avviso per cui la metodologia è stata definita, </w:t>
      </w:r>
      <w:r w:rsidRPr="007658E4">
        <w:rPr>
          <w:color w:val="000000"/>
          <w:szCs w:val="22"/>
        </w:rPr>
        <w:t>si è proceduto alla realizzazione delle seguenti attività:</w:t>
      </w:r>
    </w:p>
    <w:p w14:paraId="534A66D7" w14:textId="77777777" w:rsidR="00801F4F" w:rsidRPr="007658E4" w:rsidRDefault="00801F4F">
      <w:pPr>
        <w:pStyle w:val="Paragrafoelenco"/>
        <w:widowControl w:val="0"/>
        <w:numPr>
          <w:ilvl w:val="1"/>
          <w:numId w:val="22"/>
        </w:numPr>
        <w:tabs>
          <w:tab w:val="left" w:pos="426"/>
        </w:tabs>
        <w:autoSpaceDE w:val="0"/>
        <w:autoSpaceDN w:val="0"/>
        <w:spacing w:before="60" w:line="276" w:lineRule="auto"/>
        <w:ind w:left="426" w:hanging="284"/>
        <w:contextualSpacing w:val="0"/>
        <w:rPr>
          <w:szCs w:val="22"/>
        </w:rPr>
      </w:pPr>
      <w:r w:rsidRPr="007658E4">
        <w:rPr>
          <w:b/>
          <w:szCs w:val="22"/>
        </w:rPr>
        <w:t>Analisi</w:t>
      </w:r>
      <w:r w:rsidRPr="007658E4">
        <w:rPr>
          <w:b/>
          <w:spacing w:val="-3"/>
          <w:szCs w:val="22"/>
        </w:rPr>
        <w:t xml:space="preserve"> </w:t>
      </w:r>
      <w:r w:rsidRPr="007658E4">
        <w:rPr>
          <w:b/>
          <w:szCs w:val="22"/>
        </w:rPr>
        <w:t>documentale</w:t>
      </w:r>
      <w:r w:rsidRPr="007658E4">
        <w:rPr>
          <w:b/>
          <w:spacing w:val="-2"/>
          <w:szCs w:val="22"/>
        </w:rPr>
        <w:t xml:space="preserve"> delle procedure di gara</w:t>
      </w:r>
      <w:r w:rsidRPr="007658E4">
        <w:rPr>
          <w:spacing w:val="-2"/>
          <w:szCs w:val="22"/>
        </w:rPr>
        <w:t xml:space="preserve"> aggiudicate dalla Sezione Internazionalizzazione durante gli anni 2019 e 2020 connesse all’acquisto di servizi (spazio espositivo e allestimento) per la partecipazione istituzionale regionale</w:t>
      </w:r>
      <w:r w:rsidRPr="007658E4">
        <w:rPr>
          <w:b/>
          <w:spacing w:val="-2"/>
          <w:szCs w:val="22"/>
        </w:rPr>
        <w:t xml:space="preserve"> </w:t>
      </w:r>
      <w:r w:rsidRPr="007658E4">
        <w:rPr>
          <w:spacing w:val="-2"/>
          <w:szCs w:val="22"/>
        </w:rPr>
        <w:t xml:space="preserve">a fiere internazionali tenutesi in Italia e all’estero; </w:t>
      </w:r>
    </w:p>
    <w:p w14:paraId="685837B2" w14:textId="77777777" w:rsidR="00801F4F" w:rsidRPr="007658E4" w:rsidRDefault="00801F4F">
      <w:pPr>
        <w:pStyle w:val="Paragrafoelenco"/>
        <w:widowControl w:val="0"/>
        <w:numPr>
          <w:ilvl w:val="1"/>
          <w:numId w:val="22"/>
        </w:numPr>
        <w:tabs>
          <w:tab w:val="left" w:pos="426"/>
        </w:tabs>
        <w:autoSpaceDE w:val="0"/>
        <w:autoSpaceDN w:val="0"/>
        <w:spacing w:before="60" w:line="276" w:lineRule="auto"/>
        <w:ind w:left="426" w:hanging="284"/>
        <w:contextualSpacing w:val="0"/>
        <w:rPr>
          <w:szCs w:val="22"/>
        </w:rPr>
      </w:pPr>
      <w:r w:rsidRPr="007658E4">
        <w:rPr>
          <w:b/>
          <w:szCs w:val="22"/>
        </w:rPr>
        <w:t>Analisi documentale delle procedure di avviso pubblico</w:t>
      </w:r>
      <w:r w:rsidRPr="007658E4">
        <w:rPr>
          <w:szCs w:val="22"/>
        </w:rPr>
        <w:t xml:space="preserve"> Voucher 2017 e Voucher 2018-2019, per l’erogazione di incentivi alle PMI nell’ambito di regimi de minimis;</w:t>
      </w:r>
    </w:p>
    <w:p w14:paraId="1B5D8F98" w14:textId="77777777" w:rsidR="00801F4F" w:rsidRPr="007658E4" w:rsidRDefault="00801F4F">
      <w:pPr>
        <w:pStyle w:val="Paragrafoelenco"/>
        <w:widowControl w:val="0"/>
        <w:numPr>
          <w:ilvl w:val="1"/>
          <w:numId w:val="22"/>
        </w:numPr>
        <w:tabs>
          <w:tab w:val="left" w:pos="426"/>
        </w:tabs>
        <w:autoSpaceDE w:val="0"/>
        <w:autoSpaceDN w:val="0"/>
        <w:spacing w:before="60" w:line="276" w:lineRule="auto"/>
        <w:ind w:left="426" w:hanging="284"/>
        <w:contextualSpacing w:val="0"/>
        <w:rPr>
          <w:szCs w:val="22"/>
        </w:rPr>
      </w:pPr>
      <w:r w:rsidRPr="007658E4">
        <w:rPr>
          <w:b/>
          <w:szCs w:val="22"/>
        </w:rPr>
        <w:t xml:space="preserve">Analisi della documentazione di spesa </w:t>
      </w:r>
      <w:r w:rsidRPr="007658E4">
        <w:rPr>
          <w:szCs w:val="22"/>
        </w:rPr>
        <w:t>riferita</w:t>
      </w:r>
      <w:r w:rsidRPr="007658E4">
        <w:rPr>
          <w:spacing w:val="-2"/>
          <w:szCs w:val="22"/>
        </w:rPr>
        <w:t xml:space="preserve"> ad un campione di 150 rendicontazioni relative a voucher assegnati nell’ambito degli avvisi Voucher 2017 e Voucher 2018-2019 per la partecipazione a fiere internazionali tenutesi negli anni 2017-2018-2019</w:t>
      </w:r>
      <w:r w:rsidRPr="007658E4">
        <w:rPr>
          <w:szCs w:val="22"/>
        </w:rPr>
        <w:t xml:space="preserve"> e finanziate </w:t>
      </w:r>
      <w:r>
        <w:rPr>
          <w:szCs w:val="22"/>
        </w:rPr>
        <w:t>dalla pertinente azione del Programma</w:t>
      </w:r>
      <w:r w:rsidRPr="007658E4">
        <w:rPr>
          <w:szCs w:val="22"/>
        </w:rPr>
        <w:t>;</w:t>
      </w:r>
    </w:p>
    <w:p w14:paraId="6F5A6B38" w14:textId="77777777" w:rsidR="00801F4F" w:rsidRPr="007658E4" w:rsidRDefault="00801F4F">
      <w:pPr>
        <w:pStyle w:val="Paragrafoelenco"/>
        <w:widowControl w:val="0"/>
        <w:numPr>
          <w:ilvl w:val="1"/>
          <w:numId w:val="22"/>
        </w:numPr>
        <w:tabs>
          <w:tab w:val="left" w:pos="426"/>
        </w:tabs>
        <w:autoSpaceDE w:val="0"/>
        <w:autoSpaceDN w:val="0"/>
        <w:spacing w:before="60" w:line="276" w:lineRule="auto"/>
        <w:ind w:left="426" w:hanging="284"/>
        <w:contextualSpacing w:val="0"/>
        <w:rPr>
          <w:szCs w:val="22"/>
        </w:rPr>
      </w:pPr>
      <w:r w:rsidRPr="007658E4">
        <w:rPr>
          <w:b/>
          <w:szCs w:val="22"/>
        </w:rPr>
        <w:t xml:space="preserve">Analisi e determinazione dei dati desunti da ricerche di mercato </w:t>
      </w:r>
      <w:r w:rsidRPr="007658E4">
        <w:rPr>
          <w:szCs w:val="22"/>
        </w:rPr>
        <w:t xml:space="preserve">secondo l’impostazione prevista all’art. 67 par. 5 lett. a), punto i) del Reg. 1303/2013 con riferimento a tariffari e/o informazioni presenti online su siti specialistici. </w:t>
      </w:r>
    </w:p>
    <w:p w14:paraId="7AD03B9A" w14:textId="77777777" w:rsidR="00801F4F" w:rsidRDefault="00801F4F">
      <w:pPr>
        <w:pStyle w:val="Paragrafoelenco"/>
        <w:widowControl w:val="0"/>
        <w:numPr>
          <w:ilvl w:val="1"/>
          <w:numId w:val="22"/>
        </w:numPr>
        <w:tabs>
          <w:tab w:val="left" w:pos="426"/>
        </w:tabs>
        <w:autoSpaceDE w:val="0"/>
        <w:autoSpaceDN w:val="0"/>
        <w:spacing w:before="60" w:line="276" w:lineRule="auto"/>
        <w:ind w:left="426" w:hanging="284"/>
        <w:contextualSpacing w:val="0"/>
        <w:rPr>
          <w:szCs w:val="22"/>
        </w:rPr>
      </w:pPr>
      <w:r w:rsidRPr="007658E4">
        <w:rPr>
          <w:b/>
          <w:szCs w:val="22"/>
        </w:rPr>
        <w:t>Analisi e applicazione di OSC per tipologie di spesa analoghe</w:t>
      </w:r>
      <w:r w:rsidRPr="007658E4">
        <w:rPr>
          <w:szCs w:val="22"/>
        </w:rPr>
        <w:t xml:space="preserve"> di operazioni e beneficiari nell’ambito di un regime finanziato a livello nazionale</w:t>
      </w:r>
      <w:r>
        <w:rPr>
          <w:szCs w:val="22"/>
        </w:rPr>
        <w:t>.</w:t>
      </w:r>
    </w:p>
    <w:p w14:paraId="218B7151" w14:textId="77777777" w:rsidR="00801F4F" w:rsidRPr="007658E4" w:rsidRDefault="00801F4F" w:rsidP="00801F4F">
      <w:pPr>
        <w:spacing w:before="240"/>
        <w:ind w:right="17"/>
        <w:rPr>
          <w:szCs w:val="22"/>
        </w:rPr>
      </w:pPr>
      <w:r w:rsidRPr="00A23EF9">
        <w:rPr>
          <w:b/>
          <w:szCs w:val="22"/>
        </w:rPr>
        <w:t>L’analisi documentale delle procedure di gara per servizi di partecipazione e allestimento stand in occasione di manifestazioni fieristiche internazionali</w:t>
      </w:r>
      <w:r w:rsidRPr="00A23EF9">
        <w:rPr>
          <w:bCs/>
          <w:szCs w:val="22"/>
        </w:rPr>
        <w:t xml:space="preserve"> ha costituito il punto di partenza per il reperimento</w:t>
      </w:r>
      <w:r w:rsidRPr="007658E4">
        <w:rPr>
          <w:szCs w:val="22"/>
        </w:rPr>
        <w:t xml:space="preserve"> delle informazioni</w:t>
      </w:r>
      <w:r w:rsidRPr="007658E4">
        <w:rPr>
          <w:spacing w:val="1"/>
          <w:szCs w:val="22"/>
        </w:rPr>
        <w:t xml:space="preserve"> </w:t>
      </w:r>
      <w:r w:rsidRPr="007658E4">
        <w:rPr>
          <w:szCs w:val="22"/>
        </w:rPr>
        <w:t>disponibili sulla tipologia delle attività e dei costi connessi all’acquisto, allestimento e gestione di spazi espositivi nell’ambito di fiere commerciali internazionali, nonché di altre tipologie di costi spesso legate a questo tipo di interventi</w:t>
      </w:r>
      <w:r>
        <w:rPr>
          <w:szCs w:val="22"/>
        </w:rPr>
        <w:t>. G</w:t>
      </w:r>
      <w:r w:rsidRPr="007658E4">
        <w:rPr>
          <w:szCs w:val="22"/>
        </w:rPr>
        <w:t xml:space="preserve">razie a queste informazioni è stato possibile definire </w:t>
      </w:r>
      <w:r w:rsidRPr="007658E4">
        <w:rPr>
          <w:b/>
          <w:szCs w:val="22"/>
        </w:rPr>
        <w:t>un’ipotesi di tabella di costi standard</w:t>
      </w:r>
      <w:r w:rsidRPr="007658E4">
        <w:rPr>
          <w:szCs w:val="22"/>
        </w:rPr>
        <w:t xml:space="preserve"> da poter utilizzare per la quantificazione delle sovvenzioni da assegnare alle PMI per l’acquisizione di servizi analoghi.</w:t>
      </w:r>
    </w:p>
    <w:p w14:paraId="7D86F954" w14:textId="77777777" w:rsidR="00801F4F" w:rsidRPr="007658E4" w:rsidRDefault="00801F4F" w:rsidP="00801F4F">
      <w:pPr>
        <w:ind w:right="15"/>
        <w:rPr>
          <w:szCs w:val="22"/>
        </w:rPr>
      </w:pPr>
      <w:r w:rsidRPr="007658E4">
        <w:rPr>
          <w:b/>
          <w:szCs w:val="22"/>
        </w:rPr>
        <w:t xml:space="preserve">L’analisi documentale degli avvisi pubblici per l’erogazione di incentivi volti all’internazionalizzazione delle imprese </w:t>
      </w:r>
      <w:r w:rsidRPr="007658E4">
        <w:rPr>
          <w:szCs w:val="22"/>
        </w:rPr>
        <w:t xml:space="preserve">ha permesso di acquisire un quadro delle attività di internazionalizzazione finanziabili con risorse pubbliche, limitare la tipologia e la natura delle spese ammissibili nonché individuare i possibili livelli di intensità di aiuto da applicare. Sulla base di questi dati è stato possibile delineare uno schema di bilancio sul quale si è innestato il processo di verifica dei relativi documenti di spesa, l’acquisizione dei dati contabili e l’elaborazione di un </w:t>
      </w:r>
      <w:r w:rsidRPr="007658E4">
        <w:rPr>
          <w:i/>
          <w:szCs w:val="22"/>
        </w:rPr>
        <w:t>set</w:t>
      </w:r>
      <w:r w:rsidRPr="007658E4">
        <w:rPr>
          <w:szCs w:val="22"/>
        </w:rPr>
        <w:t xml:space="preserve"> di valori riferimento. </w:t>
      </w:r>
    </w:p>
    <w:p w14:paraId="3E18019A" w14:textId="77777777" w:rsidR="00801F4F" w:rsidRPr="007658E4" w:rsidRDefault="00801F4F" w:rsidP="00801F4F">
      <w:pPr>
        <w:rPr>
          <w:szCs w:val="22"/>
        </w:rPr>
      </w:pPr>
      <w:r w:rsidRPr="007658E4">
        <w:rPr>
          <w:b/>
          <w:szCs w:val="22"/>
        </w:rPr>
        <w:t xml:space="preserve">L’analisi della documentazione di spesa </w:t>
      </w:r>
      <w:r w:rsidRPr="007658E4">
        <w:rPr>
          <w:szCs w:val="22"/>
        </w:rPr>
        <w:t>ha permesso,</w:t>
      </w:r>
      <w:r w:rsidRPr="007658E4">
        <w:rPr>
          <w:b/>
          <w:szCs w:val="22"/>
        </w:rPr>
        <w:t xml:space="preserve"> </w:t>
      </w:r>
      <w:r w:rsidRPr="007658E4">
        <w:rPr>
          <w:szCs w:val="22"/>
        </w:rPr>
        <w:t>attraverso la verifica di un campione di n. 150 rendicontazioni riferite alla partecipazione di PMI a fiere commerciali internazionali tenutesi in Italia e all’estero negli anni</w:t>
      </w:r>
      <w:r w:rsidRPr="007658E4">
        <w:rPr>
          <w:b/>
          <w:szCs w:val="22"/>
        </w:rPr>
        <w:t xml:space="preserve"> </w:t>
      </w:r>
      <w:r w:rsidRPr="007658E4">
        <w:rPr>
          <w:szCs w:val="22"/>
        </w:rPr>
        <w:t xml:space="preserve">2017, 2018 e 2019, di identificare i valori delle </w:t>
      </w:r>
      <w:r w:rsidRPr="007658E4">
        <w:rPr>
          <w:b/>
          <w:szCs w:val="22"/>
        </w:rPr>
        <w:t>somme forfettarie</w:t>
      </w:r>
      <w:r w:rsidRPr="007658E4">
        <w:rPr>
          <w:szCs w:val="22"/>
        </w:rPr>
        <w:t xml:space="preserve"> da assegnare alle imprese, declinando gli importi a seconda delle tipologie di intervento e dell’ambito geografico di svolgimento delle manifestazioni. Questo implica che la metodologia proposta possa essere applicata esclusivamente all’attività definita nell’Azione A1 dell’Avviso</w:t>
      </w:r>
      <w:r>
        <w:rPr>
          <w:szCs w:val="22"/>
        </w:rPr>
        <w:t>.</w:t>
      </w:r>
    </w:p>
    <w:p w14:paraId="3A0254FA" w14:textId="77777777" w:rsidR="00801F4F" w:rsidRPr="007658E4" w:rsidRDefault="00801F4F" w:rsidP="00801F4F">
      <w:pPr>
        <w:rPr>
          <w:szCs w:val="22"/>
        </w:rPr>
      </w:pPr>
      <w:r w:rsidRPr="007658E4">
        <w:rPr>
          <w:b/>
          <w:szCs w:val="22"/>
        </w:rPr>
        <w:t xml:space="preserve">L’analisi e applicazione dei dati desunti da ricerche di mercato </w:t>
      </w:r>
      <w:r w:rsidRPr="007658E4">
        <w:rPr>
          <w:szCs w:val="22"/>
        </w:rPr>
        <w:t xml:space="preserve">è stata indirizzata per quella particolare tipologia di attività, comprese nella lettera “C” </w:t>
      </w:r>
      <w:r w:rsidRPr="007658E4">
        <w:rPr>
          <w:i/>
          <w:szCs w:val="22"/>
        </w:rPr>
        <w:t>E-commerce</w:t>
      </w:r>
      <w:r w:rsidRPr="007658E4">
        <w:rPr>
          <w:szCs w:val="22"/>
        </w:rPr>
        <w:t xml:space="preserve"> dell’Avviso, per le quali la Sezione non possiede un background consolidato sia in termini di procedure che in termini di documentazione di spesa. A tal fine si è operato acquisendo informazioni dai siti specializzati e, con specifica attenzione all’attività C2, analizzando i tariffari proposti dai maggiori marketplace orizzontali (Amazon, Alibaba, eBay, etc.).</w:t>
      </w:r>
    </w:p>
    <w:p w14:paraId="0682C11B" w14:textId="77777777" w:rsidR="00801F4F" w:rsidRPr="007658E4" w:rsidRDefault="00801F4F" w:rsidP="00801F4F">
      <w:pPr>
        <w:spacing w:before="120"/>
        <w:rPr>
          <w:szCs w:val="22"/>
        </w:rPr>
      </w:pPr>
      <w:r w:rsidRPr="007658E4">
        <w:rPr>
          <w:szCs w:val="22"/>
        </w:rPr>
        <w:t xml:space="preserve">Seppur in presenza di casi isolati, a livello nazionale sono presenti alcuni casi di </w:t>
      </w:r>
      <w:r w:rsidRPr="007658E4">
        <w:rPr>
          <w:b/>
          <w:szCs w:val="22"/>
        </w:rPr>
        <w:t>adozione di OSC per tipologie di spesa analoghe</w:t>
      </w:r>
      <w:r w:rsidRPr="007658E4">
        <w:rPr>
          <w:szCs w:val="22"/>
        </w:rPr>
        <w:t xml:space="preserve"> a quelle previste dall’Avviso</w:t>
      </w:r>
      <w:r>
        <w:rPr>
          <w:szCs w:val="22"/>
        </w:rPr>
        <w:t xml:space="preserve"> </w:t>
      </w:r>
      <w:r w:rsidRPr="007658E4">
        <w:rPr>
          <w:szCs w:val="22"/>
        </w:rPr>
        <w:t xml:space="preserve">e, in particolar modo, con le attività previste </w:t>
      </w:r>
      <w:r>
        <w:rPr>
          <w:szCs w:val="22"/>
        </w:rPr>
        <w:t xml:space="preserve">di </w:t>
      </w:r>
      <w:r w:rsidRPr="007658E4">
        <w:rPr>
          <w:szCs w:val="22"/>
        </w:rPr>
        <w:t xml:space="preserve">“Servizi di consulenza per l’internazionalizzazione” e “Brevetti”.  </w:t>
      </w:r>
    </w:p>
    <w:p w14:paraId="6136EAD2" w14:textId="77777777" w:rsidR="00801F4F" w:rsidRPr="007658E4" w:rsidRDefault="00801F4F" w:rsidP="00801F4F">
      <w:pPr>
        <w:spacing w:before="120" w:after="120"/>
        <w:rPr>
          <w:szCs w:val="22"/>
        </w:rPr>
      </w:pPr>
      <w:r w:rsidRPr="007658E4">
        <w:rPr>
          <w:szCs w:val="22"/>
        </w:rPr>
        <w:t>Pertanto, con riferimento a quanto esposto e alle attività previste nell’Avviso si verrebbe a delineare il seguente schema di lavoro, con l’applicazione di una combinazione di metodologie di calcolo:</w:t>
      </w:r>
    </w:p>
    <w:tbl>
      <w:tblPr>
        <w:tblStyle w:val="Grigliatabella"/>
        <w:tblW w:w="0" w:type="auto"/>
        <w:jc w:val="center"/>
        <w:tblLook w:val="04A0" w:firstRow="1" w:lastRow="0" w:firstColumn="1" w:lastColumn="0" w:noHBand="0" w:noVBand="1"/>
      </w:tblPr>
      <w:tblGrid>
        <w:gridCol w:w="1555"/>
        <w:gridCol w:w="5103"/>
      </w:tblGrid>
      <w:tr w:rsidR="00801F4F" w:rsidRPr="006801D9" w14:paraId="1458585E" w14:textId="77777777" w:rsidTr="00FA0EEC">
        <w:trPr>
          <w:trHeight w:val="263"/>
          <w:jc w:val="center"/>
        </w:trPr>
        <w:tc>
          <w:tcPr>
            <w:tcW w:w="1555" w:type="dxa"/>
          </w:tcPr>
          <w:p w14:paraId="12DB551B" w14:textId="77777777" w:rsidR="00801F4F" w:rsidRPr="006801D9" w:rsidRDefault="00801F4F" w:rsidP="00FA0EEC">
            <w:pPr>
              <w:rPr>
                <w:b/>
                <w:szCs w:val="20"/>
              </w:rPr>
            </w:pPr>
            <w:r w:rsidRPr="006801D9">
              <w:rPr>
                <w:b/>
                <w:szCs w:val="20"/>
              </w:rPr>
              <w:t>Attività Avviso</w:t>
            </w:r>
          </w:p>
        </w:tc>
        <w:tc>
          <w:tcPr>
            <w:tcW w:w="5103" w:type="dxa"/>
            <w:vAlign w:val="center"/>
          </w:tcPr>
          <w:p w14:paraId="035CA5FC" w14:textId="77777777" w:rsidR="00801F4F" w:rsidRPr="006801D9" w:rsidRDefault="00801F4F" w:rsidP="00FA0EEC">
            <w:pPr>
              <w:jc w:val="center"/>
              <w:rPr>
                <w:b/>
                <w:szCs w:val="20"/>
              </w:rPr>
            </w:pPr>
            <w:r w:rsidRPr="006801D9">
              <w:rPr>
                <w:b/>
                <w:szCs w:val="20"/>
              </w:rPr>
              <w:t>Metodologia</w:t>
            </w:r>
          </w:p>
        </w:tc>
      </w:tr>
      <w:tr w:rsidR="00801F4F" w:rsidRPr="006801D9" w14:paraId="20D07957" w14:textId="77777777" w:rsidTr="00FA0EEC">
        <w:trPr>
          <w:trHeight w:val="263"/>
          <w:jc w:val="center"/>
        </w:trPr>
        <w:tc>
          <w:tcPr>
            <w:tcW w:w="1555" w:type="dxa"/>
            <w:vAlign w:val="center"/>
          </w:tcPr>
          <w:p w14:paraId="1C42BAE2" w14:textId="77777777" w:rsidR="00801F4F" w:rsidRPr="006801D9" w:rsidRDefault="00801F4F" w:rsidP="00FA0EEC">
            <w:pPr>
              <w:jc w:val="left"/>
              <w:rPr>
                <w:szCs w:val="20"/>
              </w:rPr>
            </w:pPr>
            <w:r w:rsidRPr="00AE68D8">
              <w:rPr>
                <w:b/>
                <w:bCs/>
                <w:szCs w:val="20"/>
              </w:rPr>
              <w:t>A</w:t>
            </w:r>
            <w:r w:rsidRPr="006801D9">
              <w:rPr>
                <w:szCs w:val="20"/>
              </w:rPr>
              <w:t xml:space="preserve"> Expo</w:t>
            </w:r>
          </w:p>
        </w:tc>
        <w:tc>
          <w:tcPr>
            <w:tcW w:w="5103" w:type="dxa"/>
            <w:vMerge w:val="restart"/>
            <w:vAlign w:val="center"/>
          </w:tcPr>
          <w:p w14:paraId="47083470" w14:textId="77777777" w:rsidR="00801F4F" w:rsidRPr="006801D9" w:rsidRDefault="00801F4F" w:rsidP="00FA0EEC">
            <w:pPr>
              <w:jc w:val="center"/>
              <w:rPr>
                <w:szCs w:val="20"/>
              </w:rPr>
            </w:pPr>
            <w:r w:rsidRPr="006801D9">
              <w:rPr>
                <w:szCs w:val="20"/>
              </w:rPr>
              <w:t>Uso dei dati dei singoli beneficiari</w:t>
            </w:r>
          </w:p>
        </w:tc>
      </w:tr>
      <w:tr w:rsidR="00801F4F" w:rsidRPr="006801D9" w14:paraId="542730A0" w14:textId="77777777" w:rsidTr="00FA0EEC">
        <w:trPr>
          <w:trHeight w:val="274"/>
          <w:jc w:val="center"/>
        </w:trPr>
        <w:tc>
          <w:tcPr>
            <w:tcW w:w="1555" w:type="dxa"/>
            <w:vAlign w:val="center"/>
          </w:tcPr>
          <w:p w14:paraId="78CBD179" w14:textId="77777777" w:rsidR="00801F4F" w:rsidRPr="006801D9" w:rsidRDefault="00801F4F" w:rsidP="00FA0EEC">
            <w:pPr>
              <w:jc w:val="left"/>
              <w:rPr>
                <w:szCs w:val="20"/>
              </w:rPr>
            </w:pPr>
            <w:r w:rsidRPr="00AE68D8">
              <w:rPr>
                <w:b/>
                <w:bCs/>
                <w:szCs w:val="20"/>
              </w:rPr>
              <w:t>B</w:t>
            </w:r>
            <w:r w:rsidRPr="006801D9">
              <w:rPr>
                <w:szCs w:val="20"/>
              </w:rPr>
              <w:t xml:space="preserve"> Marketing</w:t>
            </w:r>
          </w:p>
        </w:tc>
        <w:tc>
          <w:tcPr>
            <w:tcW w:w="5103" w:type="dxa"/>
            <w:vMerge/>
            <w:vAlign w:val="center"/>
          </w:tcPr>
          <w:p w14:paraId="3E300B1D" w14:textId="77777777" w:rsidR="00801F4F" w:rsidRPr="006801D9" w:rsidRDefault="00801F4F" w:rsidP="00FA0EEC">
            <w:pPr>
              <w:jc w:val="center"/>
              <w:rPr>
                <w:szCs w:val="20"/>
              </w:rPr>
            </w:pPr>
          </w:p>
        </w:tc>
      </w:tr>
      <w:tr w:rsidR="00801F4F" w:rsidRPr="006801D9" w14:paraId="2AA91086" w14:textId="77777777" w:rsidTr="00FA0EEC">
        <w:trPr>
          <w:trHeight w:val="263"/>
          <w:jc w:val="center"/>
        </w:trPr>
        <w:tc>
          <w:tcPr>
            <w:tcW w:w="1555" w:type="dxa"/>
            <w:vAlign w:val="center"/>
          </w:tcPr>
          <w:p w14:paraId="7E8142D6" w14:textId="77777777" w:rsidR="00801F4F" w:rsidRPr="006801D9" w:rsidRDefault="00801F4F" w:rsidP="00FA0EEC">
            <w:pPr>
              <w:jc w:val="left"/>
              <w:rPr>
                <w:szCs w:val="20"/>
              </w:rPr>
            </w:pPr>
            <w:r w:rsidRPr="00AE68D8">
              <w:rPr>
                <w:b/>
                <w:bCs/>
                <w:szCs w:val="20"/>
              </w:rPr>
              <w:t>C</w:t>
            </w:r>
            <w:r w:rsidRPr="006801D9">
              <w:rPr>
                <w:szCs w:val="20"/>
              </w:rPr>
              <w:t xml:space="preserve"> E-Commerce</w:t>
            </w:r>
          </w:p>
        </w:tc>
        <w:tc>
          <w:tcPr>
            <w:tcW w:w="5103" w:type="dxa"/>
            <w:vAlign w:val="center"/>
          </w:tcPr>
          <w:p w14:paraId="3FEE0E58" w14:textId="77777777" w:rsidR="00801F4F" w:rsidRPr="006801D9" w:rsidRDefault="00801F4F" w:rsidP="00FA0EEC">
            <w:pPr>
              <w:jc w:val="center"/>
              <w:rPr>
                <w:szCs w:val="20"/>
              </w:rPr>
            </w:pPr>
            <w:r w:rsidRPr="006801D9">
              <w:rPr>
                <w:szCs w:val="20"/>
              </w:rPr>
              <w:t>Ricerche di mercato</w:t>
            </w:r>
          </w:p>
        </w:tc>
      </w:tr>
      <w:tr w:rsidR="00801F4F" w:rsidRPr="006801D9" w14:paraId="1721A948" w14:textId="77777777" w:rsidTr="00FA0EEC">
        <w:trPr>
          <w:trHeight w:val="526"/>
          <w:jc w:val="center"/>
        </w:trPr>
        <w:tc>
          <w:tcPr>
            <w:tcW w:w="1555" w:type="dxa"/>
            <w:vAlign w:val="center"/>
          </w:tcPr>
          <w:p w14:paraId="32EBB441" w14:textId="77777777" w:rsidR="00801F4F" w:rsidRPr="006801D9" w:rsidRDefault="00801F4F" w:rsidP="00FA0EEC">
            <w:pPr>
              <w:jc w:val="left"/>
              <w:rPr>
                <w:szCs w:val="20"/>
              </w:rPr>
            </w:pPr>
            <w:r w:rsidRPr="00AE68D8">
              <w:rPr>
                <w:b/>
                <w:bCs/>
                <w:szCs w:val="20"/>
              </w:rPr>
              <w:t>D</w:t>
            </w:r>
            <w:r w:rsidRPr="006801D9">
              <w:rPr>
                <w:szCs w:val="20"/>
              </w:rPr>
              <w:t xml:space="preserve"> Brevetti</w:t>
            </w:r>
          </w:p>
        </w:tc>
        <w:tc>
          <w:tcPr>
            <w:tcW w:w="5103" w:type="dxa"/>
            <w:vAlign w:val="center"/>
          </w:tcPr>
          <w:p w14:paraId="176EF7B5" w14:textId="77777777" w:rsidR="00801F4F" w:rsidRPr="006801D9" w:rsidRDefault="00801F4F" w:rsidP="00FA0EEC">
            <w:pPr>
              <w:jc w:val="center"/>
              <w:rPr>
                <w:szCs w:val="20"/>
              </w:rPr>
            </w:pPr>
            <w:r w:rsidRPr="006801D9">
              <w:rPr>
                <w:szCs w:val="20"/>
              </w:rPr>
              <w:t>Adozione OSC per tipologie analoghe di spese e beneficiari</w:t>
            </w:r>
          </w:p>
        </w:tc>
      </w:tr>
    </w:tbl>
    <w:p w14:paraId="0167F06C" w14:textId="77777777" w:rsidR="00801F4F" w:rsidRPr="0055655F" w:rsidRDefault="00801F4F" w:rsidP="00801F4F">
      <w:pPr>
        <w:spacing w:before="120"/>
      </w:pPr>
      <w:r w:rsidRPr="0055655F">
        <w:t>Le ipotesi presentate potranno essere oggetto di confronto</w:t>
      </w:r>
      <w:r w:rsidRPr="0055655F">
        <w:rPr>
          <w:spacing w:val="1"/>
        </w:rPr>
        <w:t xml:space="preserve"> </w:t>
      </w:r>
      <w:r w:rsidRPr="0055655F">
        <w:t>gli</w:t>
      </w:r>
      <w:r w:rsidRPr="0055655F">
        <w:rPr>
          <w:spacing w:val="1"/>
        </w:rPr>
        <w:t xml:space="preserve"> </w:t>
      </w:r>
      <w:r w:rsidRPr="0055655F">
        <w:t xml:space="preserve">stakeholder di settore, che vantano una competenza riconosciuta nel campo dell’internazionalizzazione delle imprese, dell’e-commerce, del marketing e delle altre attività connesse ed individuate dall’Avviso. </w:t>
      </w:r>
    </w:p>
    <w:p w14:paraId="0B7F1ABB" w14:textId="77777777" w:rsidR="00801F4F" w:rsidRDefault="00801F4F" w:rsidP="00801F4F">
      <w:r w:rsidRPr="0055655F">
        <w:t>Nei successivi paragrafi verranno specificati i procedimenti ed i dati utilizzati per l’individuazione delle attività e dei costi applicabili alle diverse ipotesi di lavoro.</w:t>
      </w:r>
    </w:p>
    <w:bookmarkStart w:id="19" w:name="_Toc149065976"/>
    <w:bookmarkStart w:id="20" w:name="_Toc149133889"/>
    <w:p w14:paraId="263133F4" w14:textId="26EE339C" w:rsidR="00801F4F" w:rsidRDefault="00801F4F" w:rsidP="00801F4F">
      <w:pPr>
        <w:pStyle w:val="Titolo3"/>
      </w:pPr>
      <w:r>
        <w:fldChar w:fldCharType="begin"/>
      </w:r>
      <w:r>
        <w:instrText xml:space="preserve"> AUTONUMLGL   </w:instrText>
      </w:r>
      <w:bookmarkStart w:id="21" w:name="_Toc189753942"/>
      <w:r>
        <w:fldChar w:fldCharType="end"/>
      </w:r>
      <w:r>
        <w:tab/>
        <w:t>Metodo per la definizione delle USC o degli importi forfettari</w:t>
      </w:r>
      <w:bookmarkEnd w:id="19"/>
      <w:bookmarkEnd w:id="20"/>
      <w:bookmarkEnd w:id="21"/>
    </w:p>
    <w:p w14:paraId="48A2E993" w14:textId="77777777" w:rsidR="00801F4F" w:rsidRPr="006801D9" w:rsidRDefault="00801F4F" w:rsidP="00801F4F">
      <w:pPr>
        <w:pStyle w:val="Titolo4"/>
      </w:pPr>
      <w:bookmarkStart w:id="22" w:name="_Toc83204181"/>
      <w:bookmarkStart w:id="23" w:name="_Toc149065974"/>
      <w:bookmarkStart w:id="24" w:name="_Toc149133887"/>
      <w:r w:rsidRPr="006801D9">
        <w:t>Procedure di gara</w:t>
      </w:r>
      <w:bookmarkEnd w:id="22"/>
      <w:bookmarkEnd w:id="23"/>
      <w:bookmarkEnd w:id="24"/>
    </w:p>
    <w:p w14:paraId="2CE78B00" w14:textId="77777777" w:rsidR="00801F4F" w:rsidRPr="006801D9" w:rsidRDefault="00801F4F" w:rsidP="00801F4F">
      <w:r w:rsidRPr="006801D9">
        <w:t xml:space="preserve">La Sezione </w:t>
      </w:r>
      <w:r>
        <w:t>specifica,</w:t>
      </w:r>
      <w:r w:rsidRPr="006801D9">
        <w:t xml:space="preserve"> nel corso del ciclo di programmazione comunitaria 2014-2020</w:t>
      </w:r>
      <w:r>
        <w:t>,</w:t>
      </w:r>
      <w:r w:rsidRPr="006801D9">
        <w:t xml:space="preserve"> ha dato vita a due diverse procedure volte all’individuazione di un soggetto fornitore di servizi connessi alla realizzazione di iniziative di promozione economica da realizzarsi nell’ambito di manifestazioni fieristiche internazionali all’estero:</w:t>
      </w:r>
    </w:p>
    <w:p w14:paraId="49CC5205" w14:textId="77777777" w:rsidR="00801F4F" w:rsidRPr="006801D9" w:rsidRDefault="00801F4F">
      <w:pPr>
        <w:pStyle w:val="Paragrafoelenco"/>
        <w:numPr>
          <w:ilvl w:val="0"/>
          <w:numId w:val="23"/>
        </w:numPr>
        <w:spacing w:before="60" w:after="60" w:line="276" w:lineRule="auto"/>
      </w:pPr>
      <w:r w:rsidRPr="006801D9">
        <w:t xml:space="preserve">Procedura </w:t>
      </w:r>
      <w:r>
        <w:t>1</w:t>
      </w:r>
      <w:r w:rsidRPr="006801D9">
        <w:t>.</w:t>
      </w:r>
    </w:p>
    <w:p w14:paraId="3E736D8C" w14:textId="77777777" w:rsidR="00801F4F" w:rsidRPr="006801D9" w:rsidRDefault="00801F4F">
      <w:pPr>
        <w:pStyle w:val="Paragrafoelenco"/>
        <w:numPr>
          <w:ilvl w:val="0"/>
          <w:numId w:val="23"/>
        </w:numPr>
        <w:spacing w:before="60" w:after="120" w:line="276" w:lineRule="auto"/>
        <w:ind w:left="714" w:hanging="357"/>
        <w:contextualSpacing w:val="0"/>
      </w:pPr>
      <w:r w:rsidRPr="006801D9">
        <w:t xml:space="preserve">Procedura </w:t>
      </w:r>
      <w:r>
        <w:t>2</w:t>
      </w:r>
      <w:r w:rsidRPr="006801D9">
        <w:t>.</w:t>
      </w:r>
    </w:p>
    <w:tbl>
      <w:tblPr>
        <w:tblStyle w:val="Grigliatabella"/>
        <w:tblW w:w="10292" w:type="dxa"/>
        <w:tblInd w:w="-289" w:type="dxa"/>
        <w:tblLook w:val="04A0" w:firstRow="1" w:lastRow="0" w:firstColumn="1" w:lastColumn="0" w:noHBand="0" w:noVBand="1"/>
      </w:tblPr>
      <w:tblGrid>
        <w:gridCol w:w="409"/>
        <w:gridCol w:w="401"/>
        <w:gridCol w:w="4390"/>
        <w:gridCol w:w="687"/>
        <w:gridCol w:w="980"/>
        <w:gridCol w:w="911"/>
        <w:gridCol w:w="911"/>
        <w:gridCol w:w="911"/>
        <w:gridCol w:w="692"/>
      </w:tblGrid>
      <w:tr w:rsidR="00801F4F" w:rsidRPr="006801D9" w14:paraId="4D7A0BD8" w14:textId="77777777" w:rsidTr="00FA0EEC">
        <w:trPr>
          <w:trHeight w:val="576"/>
        </w:trPr>
        <w:tc>
          <w:tcPr>
            <w:tcW w:w="409" w:type="dxa"/>
            <w:vMerge w:val="restart"/>
            <w:noWrap/>
            <w:textDirection w:val="btLr"/>
            <w:hideMark/>
          </w:tcPr>
          <w:p w14:paraId="6D3E64A1" w14:textId="77777777" w:rsidR="00801F4F" w:rsidRPr="00461597" w:rsidRDefault="00801F4F" w:rsidP="00FA0EEC">
            <w:pPr>
              <w:pStyle w:val="Corpotesto"/>
              <w:ind w:left="213" w:right="226"/>
              <w:jc w:val="center"/>
              <w:rPr>
                <w:rFonts w:ascii="Titillium Web" w:hAnsi="Titillium Web" w:cstheme="minorHAnsi"/>
                <w:b/>
                <w:bCs/>
                <w:spacing w:val="-1"/>
                <w:sz w:val="12"/>
                <w:szCs w:val="12"/>
              </w:rPr>
            </w:pPr>
            <w:r w:rsidRPr="00461597">
              <w:rPr>
                <w:rFonts w:ascii="Titillium Web" w:hAnsi="Titillium Web" w:cstheme="minorHAnsi"/>
                <w:b/>
                <w:bCs/>
                <w:spacing w:val="-1"/>
                <w:sz w:val="12"/>
                <w:szCs w:val="12"/>
              </w:rPr>
              <w:t>Procedura 1</w:t>
            </w:r>
          </w:p>
        </w:tc>
        <w:tc>
          <w:tcPr>
            <w:tcW w:w="401" w:type="dxa"/>
            <w:noWrap/>
            <w:vAlign w:val="center"/>
            <w:hideMark/>
          </w:tcPr>
          <w:p w14:paraId="0DA76D5A" w14:textId="77777777" w:rsidR="00801F4F" w:rsidRPr="006801D9" w:rsidRDefault="00801F4F" w:rsidP="00FA0EEC">
            <w:pPr>
              <w:pStyle w:val="Corpotesto"/>
              <w:tabs>
                <w:tab w:val="left" w:pos="514"/>
              </w:tabs>
              <w:ind w:left="-51" w:right="-110"/>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Item</w:t>
            </w:r>
          </w:p>
        </w:tc>
        <w:tc>
          <w:tcPr>
            <w:tcW w:w="4390" w:type="dxa"/>
            <w:noWrap/>
            <w:vAlign w:val="center"/>
            <w:hideMark/>
          </w:tcPr>
          <w:p w14:paraId="6B1AC8B8" w14:textId="77777777" w:rsidR="00801F4F" w:rsidRPr="006801D9" w:rsidRDefault="00801F4F" w:rsidP="00FA0EEC">
            <w:pPr>
              <w:pStyle w:val="Corpotesto"/>
              <w:ind w:left="213" w:right="226"/>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Descrizione</w:t>
            </w:r>
          </w:p>
        </w:tc>
        <w:tc>
          <w:tcPr>
            <w:tcW w:w="687" w:type="dxa"/>
            <w:vAlign w:val="center"/>
            <w:hideMark/>
          </w:tcPr>
          <w:p w14:paraId="7D932F6E"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 xml:space="preserve">Prezzi base </w:t>
            </w:r>
          </w:p>
        </w:tc>
        <w:tc>
          <w:tcPr>
            <w:tcW w:w="980" w:type="dxa"/>
            <w:vAlign w:val="center"/>
            <w:hideMark/>
          </w:tcPr>
          <w:p w14:paraId="128F8114"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unità di misura</w:t>
            </w:r>
          </w:p>
        </w:tc>
        <w:tc>
          <w:tcPr>
            <w:tcW w:w="911" w:type="dxa"/>
            <w:noWrap/>
            <w:vAlign w:val="center"/>
            <w:hideMark/>
          </w:tcPr>
          <w:p w14:paraId="2657A852"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Quotazione 1</w:t>
            </w:r>
          </w:p>
        </w:tc>
        <w:tc>
          <w:tcPr>
            <w:tcW w:w="911" w:type="dxa"/>
            <w:noWrap/>
            <w:vAlign w:val="center"/>
            <w:hideMark/>
          </w:tcPr>
          <w:p w14:paraId="0BE11348"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Quotazione 2</w:t>
            </w:r>
          </w:p>
        </w:tc>
        <w:tc>
          <w:tcPr>
            <w:tcW w:w="911" w:type="dxa"/>
            <w:noWrap/>
            <w:vAlign w:val="center"/>
            <w:hideMark/>
          </w:tcPr>
          <w:p w14:paraId="54AD5B31"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Quotazione 3</w:t>
            </w:r>
          </w:p>
        </w:tc>
        <w:tc>
          <w:tcPr>
            <w:tcW w:w="692" w:type="dxa"/>
            <w:noWrap/>
            <w:vAlign w:val="center"/>
            <w:hideMark/>
          </w:tcPr>
          <w:p w14:paraId="19903CD2" w14:textId="77777777" w:rsidR="00801F4F" w:rsidRPr="006801D9" w:rsidRDefault="00801F4F" w:rsidP="00FA0EEC">
            <w:pPr>
              <w:pStyle w:val="Corpotesto"/>
              <w:tabs>
                <w:tab w:val="left" w:pos="653"/>
              </w:tabs>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Media</w:t>
            </w:r>
          </w:p>
        </w:tc>
      </w:tr>
      <w:tr w:rsidR="00801F4F" w:rsidRPr="006801D9" w14:paraId="746066DA" w14:textId="77777777" w:rsidTr="00FA0EEC">
        <w:trPr>
          <w:trHeight w:val="340"/>
        </w:trPr>
        <w:tc>
          <w:tcPr>
            <w:tcW w:w="409" w:type="dxa"/>
            <w:vMerge/>
            <w:hideMark/>
          </w:tcPr>
          <w:p w14:paraId="5E254937" w14:textId="77777777" w:rsidR="00801F4F" w:rsidRPr="00461597" w:rsidRDefault="00801F4F" w:rsidP="00FA0EEC">
            <w:pPr>
              <w:pStyle w:val="Corpotesto"/>
              <w:ind w:left="213" w:right="226"/>
              <w:jc w:val="both"/>
              <w:rPr>
                <w:rFonts w:ascii="Titillium Web" w:hAnsi="Titillium Web" w:cstheme="minorHAnsi"/>
                <w:b/>
                <w:bCs/>
                <w:spacing w:val="-1"/>
                <w:sz w:val="12"/>
                <w:szCs w:val="12"/>
              </w:rPr>
            </w:pPr>
          </w:p>
        </w:tc>
        <w:tc>
          <w:tcPr>
            <w:tcW w:w="401" w:type="dxa"/>
            <w:noWrap/>
            <w:vAlign w:val="center"/>
            <w:hideMark/>
          </w:tcPr>
          <w:p w14:paraId="5776A476"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A</w:t>
            </w:r>
          </w:p>
        </w:tc>
        <w:tc>
          <w:tcPr>
            <w:tcW w:w="4390" w:type="dxa"/>
            <w:hideMark/>
          </w:tcPr>
          <w:p w14:paraId="7D9028C4" w14:textId="77777777"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Quotazione del costo onnicomprensivo al mq. per la fornitura dei servizi di progettazione, allestimento “chiavi in mano”, gestione e manutenzione dello spazio espositivo</w:t>
            </w:r>
          </w:p>
        </w:tc>
        <w:tc>
          <w:tcPr>
            <w:tcW w:w="687" w:type="dxa"/>
            <w:noWrap/>
            <w:vAlign w:val="center"/>
            <w:hideMark/>
          </w:tcPr>
          <w:p w14:paraId="1E78E89B"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850,00</w:t>
            </w:r>
          </w:p>
        </w:tc>
        <w:tc>
          <w:tcPr>
            <w:tcW w:w="980" w:type="dxa"/>
            <w:noWrap/>
            <w:vAlign w:val="center"/>
            <w:hideMark/>
          </w:tcPr>
          <w:p w14:paraId="1F805076"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mq</w:t>
            </w:r>
          </w:p>
        </w:tc>
        <w:tc>
          <w:tcPr>
            <w:tcW w:w="911" w:type="dxa"/>
            <w:noWrap/>
            <w:vAlign w:val="center"/>
            <w:hideMark/>
          </w:tcPr>
          <w:p w14:paraId="189B83A7"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654,00</w:t>
            </w:r>
          </w:p>
        </w:tc>
        <w:tc>
          <w:tcPr>
            <w:tcW w:w="911" w:type="dxa"/>
            <w:noWrap/>
            <w:vAlign w:val="center"/>
            <w:hideMark/>
          </w:tcPr>
          <w:p w14:paraId="21166DC5"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810,00</w:t>
            </w:r>
          </w:p>
        </w:tc>
        <w:tc>
          <w:tcPr>
            <w:tcW w:w="911" w:type="dxa"/>
            <w:noWrap/>
            <w:vAlign w:val="center"/>
            <w:hideMark/>
          </w:tcPr>
          <w:p w14:paraId="747DD8B5"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657,00</w:t>
            </w:r>
          </w:p>
        </w:tc>
        <w:tc>
          <w:tcPr>
            <w:tcW w:w="692" w:type="dxa"/>
            <w:noWrap/>
            <w:vAlign w:val="center"/>
            <w:hideMark/>
          </w:tcPr>
          <w:p w14:paraId="1AEF9629"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707,00</w:t>
            </w:r>
          </w:p>
        </w:tc>
      </w:tr>
      <w:tr w:rsidR="00801F4F" w:rsidRPr="006801D9" w14:paraId="1FB17DF4" w14:textId="77777777" w:rsidTr="00FA0EEC">
        <w:trPr>
          <w:trHeight w:val="567"/>
        </w:trPr>
        <w:tc>
          <w:tcPr>
            <w:tcW w:w="409" w:type="dxa"/>
            <w:vMerge/>
            <w:hideMark/>
          </w:tcPr>
          <w:p w14:paraId="3156AFBC" w14:textId="77777777" w:rsidR="00801F4F" w:rsidRPr="00461597" w:rsidRDefault="00801F4F" w:rsidP="00FA0EEC">
            <w:pPr>
              <w:pStyle w:val="Corpotesto"/>
              <w:ind w:left="213" w:right="226"/>
              <w:jc w:val="both"/>
              <w:rPr>
                <w:rFonts w:ascii="Titillium Web" w:hAnsi="Titillium Web" w:cstheme="minorHAnsi"/>
                <w:b/>
                <w:bCs/>
                <w:spacing w:val="-1"/>
                <w:sz w:val="12"/>
                <w:szCs w:val="12"/>
              </w:rPr>
            </w:pPr>
          </w:p>
        </w:tc>
        <w:tc>
          <w:tcPr>
            <w:tcW w:w="401" w:type="dxa"/>
            <w:noWrap/>
            <w:vAlign w:val="center"/>
            <w:hideMark/>
          </w:tcPr>
          <w:p w14:paraId="65A0808F"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B</w:t>
            </w:r>
          </w:p>
        </w:tc>
        <w:tc>
          <w:tcPr>
            <w:tcW w:w="4390" w:type="dxa"/>
            <w:hideMark/>
          </w:tcPr>
          <w:p w14:paraId="5970CFCE" w14:textId="77777777"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costo unitario (a persona) per “colazione di lavoro”, durante la realizzazione di “breakfast meeting” (succhi di frutta, caffè, tè, acqua minerale, mini muffin e/o brioche e pasticceria secca), comprensivo di personale in divisa (n. 1 cameriere)</w:t>
            </w:r>
          </w:p>
        </w:tc>
        <w:tc>
          <w:tcPr>
            <w:tcW w:w="687" w:type="dxa"/>
            <w:noWrap/>
            <w:vAlign w:val="center"/>
            <w:hideMark/>
          </w:tcPr>
          <w:p w14:paraId="57E0F437"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15,00</w:t>
            </w:r>
          </w:p>
        </w:tc>
        <w:tc>
          <w:tcPr>
            <w:tcW w:w="980" w:type="dxa"/>
            <w:noWrap/>
            <w:vAlign w:val="center"/>
            <w:hideMark/>
          </w:tcPr>
          <w:p w14:paraId="6C05CEC6"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persona</w:t>
            </w:r>
          </w:p>
        </w:tc>
        <w:tc>
          <w:tcPr>
            <w:tcW w:w="911" w:type="dxa"/>
            <w:noWrap/>
            <w:vAlign w:val="center"/>
            <w:hideMark/>
          </w:tcPr>
          <w:p w14:paraId="35DA783E"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10,00</w:t>
            </w:r>
          </w:p>
        </w:tc>
        <w:tc>
          <w:tcPr>
            <w:tcW w:w="911" w:type="dxa"/>
            <w:noWrap/>
            <w:vAlign w:val="center"/>
            <w:hideMark/>
          </w:tcPr>
          <w:p w14:paraId="1943B52C"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11,00</w:t>
            </w:r>
          </w:p>
        </w:tc>
        <w:tc>
          <w:tcPr>
            <w:tcW w:w="911" w:type="dxa"/>
            <w:noWrap/>
            <w:vAlign w:val="center"/>
            <w:hideMark/>
          </w:tcPr>
          <w:p w14:paraId="558A19DF"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14,25</w:t>
            </w:r>
          </w:p>
        </w:tc>
        <w:tc>
          <w:tcPr>
            <w:tcW w:w="692" w:type="dxa"/>
            <w:noWrap/>
            <w:vAlign w:val="center"/>
            <w:hideMark/>
          </w:tcPr>
          <w:p w14:paraId="2E0F6564"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11,75</w:t>
            </w:r>
          </w:p>
        </w:tc>
      </w:tr>
      <w:tr w:rsidR="00801F4F" w:rsidRPr="006801D9" w14:paraId="68D0C607" w14:textId="77777777" w:rsidTr="00FA0EEC">
        <w:trPr>
          <w:trHeight w:val="737"/>
        </w:trPr>
        <w:tc>
          <w:tcPr>
            <w:tcW w:w="409" w:type="dxa"/>
            <w:vMerge/>
            <w:hideMark/>
          </w:tcPr>
          <w:p w14:paraId="7739BE32" w14:textId="77777777" w:rsidR="00801F4F" w:rsidRPr="00461597" w:rsidRDefault="00801F4F" w:rsidP="00FA0EEC">
            <w:pPr>
              <w:pStyle w:val="Corpotesto"/>
              <w:ind w:left="213" w:right="226"/>
              <w:jc w:val="both"/>
              <w:rPr>
                <w:rFonts w:ascii="Titillium Web" w:hAnsi="Titillium Web" w:cstheme="minorHAnsi"/>
                <w:b/>
                <w:bCs/>
                <w:spacing w:val="-1"/>
                <w:sz w:val="12"/>
                <w:szCs w:val="12"/>
              </w:rPr>
            </w:pPr>
          </w:p>
        </w:tc>
        <w:tc>
          <w:tcPr>
            <w:tcW w:w="401" w:type="dxa"/>
            <w:noWrap/>
            <w:vAlign w:val="center"/>
            <w:hideMark/>
          </w:tcPr>
          <w:p w14:paraId="7D428C15"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C</w:t>
            </w:r>
          </w:p>
        </w:tc>
        <w:tc>
          <w:tcPr>
            <w:tcW w:w="4390" w:type="dxa"/>
            <w:hideMark/>
          </w:tcPr>
          <w:p w14:paraId="7D04EEA5" w14:textId="3A01BD0F"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costo unitario (a persona) “per light lunch”, durante la realizzazione di workshop (antipasti, primi, secondi, frutta, dolci, acqua minerale, vini rossi, rosati, bianchi). Il servizio dovrà essere erogato da personale in divisa (n. 2 camerieri)</w:t>
            </w:r>
          </w:p>
        </w:tc>
        <w:tc>
          <w:tcPr>
            <w:tcW w:w="687" w:type="dxa"/>
            <w:noWrap/>
            <w:vAlign w:val="center"/>
            <w:hideMark/>
          </w:tcPr>
          <w:p w14:paraId="41443B3C"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45,00</w:t>
            </w:r>
          </w:p>
        </w:tc>
        <w:tc>
          <w:tcPr>
            <w:tcW w:w="980" w:type="dxa"/>
            <w:vAlign w:val="center"/>
            <w:hideMark/>
          </w:tcPr>
          <w:p w14:paraId="71A13A0C"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per pasto (light lunch)</w:t>
            </w:r>
          </w:p>
        </w:tc>
        <w:tc>
          <w:tcPr>
            <w:tcW w:w="911" w:type="dxa"/>
            <w:noWrap/>
            <w:vAlign w:val="center"/>
            <w:hideMark/>
          </w:tcPr>
          <w:p w14:paraId="513CC29D"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30,00</w:t>
            </w:r>
          </w:p>
        </w:tc>
        <w:tc>
          <w:tcPr>
            <w:tcW w:w="911" w:type="dxa"/>
            <w:noWrap/>
            <w:vAlign w:val="center"/>
            <w:hideMark/>
          </w:tcPr>
          <w:p w14:paraId="2302DC60"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35,00</w:t>
            </w:r>
          </w:p>
        </w:tc>
        <w:tc>
          <w:tcPr>
            <w:tcW w:w="911" w:type="dxa"/>
            <w:noWrap/>
            <w:vAlign w:val="center"/>
            <w:hideMark/>
          </w:tcPr>
          <w:p w14:paraId="3FCD1276"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40,50</w:t>
            </w:r>
          </w:p>
        </w:tc>
        <w:tc>
          <w:tcPr>
            <w:tcW w:w="692" w:type="dxa"/>
            <w:noWrap/>
            <w:vAlign w:val="center"/>
            <w:hideMark/>
          </w:tcPr>
          <w:p w14:paraId="394A0C90"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35,17</w:t>
            </w:r>
          </w:p>
        </w:tc>
      </w:tr>
      <w:tr w:rsidR="00801F4F" w:rsidRPr="006801D9" w14:paraId="0CE1BAE7" w14:textId="77777777" w:rsidTr="00FA0EEC">
        <w:trPr>
          <w:trHeight w:val="510"/>
        </w:trPr>
        <w:tc>
          <w:tcPr>
            <w:tcW w:w="409" w:type="dxa"/>
            <w:vMerge/>
            <w:hideMark/>
          </w:tcPr>
          <w:p w14:paraId="2C49F2F4" w14:textId="77777777" w:rsidR="00801F4F" w:rsidRPr="00461597" w:rsidRDefault="00801F4F" w:rsidP="00FA0EEC">
            <w:pPr>
              <w:pStyle w:val="Corpotesto"/>
              <w:ind w:left="213" w:right="226"/>
              <w:jc w:val="both"/>
              <w:rPr>
                <w:rFonts w:ascii="Titillium Web" w:hAnsi="Titillium Web" w:cstheme="minorHAnsi"/>
                <w:b/>
                <w:bCs/>
                <w:spacing w:val="-1"/>
                <w:sz w:val="12"/>
                <w:szCs w:val="12"/>
              </w:rPr>
            </w:pPr>
          </w:p>
        </w:tc>
        <w:tc>
          <w:tcPr>
            <w:tcW w:w="401" w:type="dxa"/>
            <w:noWrap/>
            <w:vAlign w:val="center"/>
            <w:hideMark/>
          </w:tcPr>
          <w:p w14:paraId="2BFA5083"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D</w:t>
            </w:r>
          </w:p>
        </w:tc>
        <w:tc>
          <w:tcPr>
            <w:tcW w:w="4390" w:type="dxa"/>
            <w:hideMark/>
          </w:tcPr>
          <w:p w14:paraId="3CEF6B36" w14:textId="04BD3C39"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costo unitario (a persona) per aperitivo, da realizzare in orario pomeridiano (tartine salate, finger food, bevande varie tra cui succhi di frutta, acqua minerale e vini rossi e bianchi) (n. 2 camerieri)</w:t>
            </w:r>
          </w:p>
        </w:tc>
        <w:tc>
          <w:tcPr>
            <w:tcW w:w="687" w:type="dxa"/>
            <w:noWrap/>
            <w:vAlign w:val="center"/>
            <w:hideMark/>
          </w:tcPr>
          <w:p w14:paraId="47F0C43E"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30,00</w:t>
            </w:r>
          </w:p>
        </w:tc>
        <w:tc>
          <w:tcPr>
            <w:tcW w:w="980" w:type="dxa"/>
            <w:noWrap/>
            <w:vAlign w:val="center"/>
            <w:hideMark/>
          </w:tcPr>
          <w:p w14:paraId="7AA55F41"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persona</w:t>
            </w:r>
          </w:p>
        </w:tc>
        <w:tc>
          <w:tcPr>
            <w:tcW w:w="911" w:type="dxa"/>
            <w:noWrap/>
            <w:vAlign w:val="center"/>
            <w:hideMark/>
          </w:tcPr>
          <w:p w14:paraId="35442D8F"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15,00</w:t>
            </w:r>
          </w:p>
        </w:tc>
        <w:tc>
          <w:tcPr>
            <w:tcW w:w="911" w:type="dxa"/>
            <w:noWrap/>
            <w:vAlign w:val="center"/>
            <w:hideMark/>
          </w:tcPr>
          <w:p w14:paraId="1394A4FD"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24,00</w:t>
            </w:r>
          </w:p>
        </w:tc>
        <w:tc>
          <w:tcPr>
            <w:tcW w:w="911" w:type="dxa"/>
            <w:noWrap/>
            <w:vAlign w:val="center"/>
            <w:hideMark/>
          </w:tcPr>
          <w:p w14:paraId="488A2FD0"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27,00</w:t>
            </w:r>
          </w:p>
        </w:tc>
        <w:tc>
          <w:tcPr>
            <w:tcW w:w="692" w:type="dxa"/>
            <w:noWrap/>
            <w:vAlign w:val="center"/>
            <w:hideMark/>
          </w:tcPr>
          <w:p w14:paraId="78591759"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22,00</w:t>
            </w:r>
          </w:p>
        </w:tc>
      </w:tr>
      <w:tr w:rsidR="00801F4F" w:rsidRPr="006801D9" w14:paraId="63C5742A" w14:textId="77777777" w:rsidTr="00FA0EEC">
        <w:trPr>
          <w:trHeight w:val="20"/>
        </w:trPr>
        <w:tc>
          <w:tcPr>
            <w:tcW w:w="409" w:type="dxa"/>
            <w:vMerge/>
            <w:hideMark/>
          </w:tcPr>
          <w:p w14:paraId="4ACBF646" w14:textId="77777777" w:rsidR="00801F4F" w:rsidRPr="00461597" w:rsidRDefault="00801F4F" w:rsidP="00FA0EEC">
            <w:pPr>
              <w:pStyle w:val="Corpotesto"/>
              <w:ind w:left="213" w:right="226"/>
              <w:jc w:val="both"/>
              <w:rPr>
                <w:rFonts w:ascii="Titillium Web" w:hAnsi="Titillium Web" w:cstheme="minorHAnsi"/>
                <w:b/>
                <w:bCs/>
                <w:spacing w:val="-1"/>
                <w:sz w:val="12"/>
                <w:szCs w:val="12"/>
              </w:rPr>
            </w:pPr>
          </w:p>
        </w:tc>
        <w:tc>
          <w:tcPr>
            <w:tcW w:w="401" w:type="dxa"/>
            <w:noWrap/>
            <w:vAlign w:val="center"/>
            <w:hideMark/>
          </w:tcPr>
          <w:p w14:paraId="0DB3CAC7"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E</w:t>
            </w:r>
          </w:p>
        </w:tc>
        <w:tc>
          <w:tcPr>
            <w:tcW w:w="4390" w:type="dxa"/>
            <w:hideMark/>
          </w:tcPr>
          <w:p w14:paraId="4576E49F" w14:textId="77777777"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servizio transfer, costo orario per il noleggio di un’autovettura, modello berlina, con autista (minimo 4+1 posti)</w:t>
            </w:r>
          </w:p>
        </w:tc>
        <w:tc>
          <w:tcPr>
            <w:tcW w:w="687" w:type="dxa"/>
            <w:noWrap/>
            <w:vAlign w:val="center"/>
            <w:hideMark/>
          </w:tcPr>
          <w:p w14:paraId="7D2D87AB"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30,00</w:t>
            </w:r>
          </w:p>
        </w:tc>
        <w:tc>
          <w:tcPr>
            <w:tcW w:w="980" w:type="dxa"/>
            <w:vAlign w:val="center"/>
            <w:hideMark/>
          </w:tcPr>
          <w:p w14:paraId="56BA9824"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costo orario</w:t>
            </w:r>
          </w:p>
        </w:tc>
        <w:tc>
          <w:tcPr>
            <w:tcW w:w="911" w:type="dxa"/>
            <w:noWrap/>
            <w:vAlign w:val="center"/>
            <w:hideMark/>
          </w:tcPr>
          <w:p w14:paraId="4F6B8202"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20,00</w:t>
            </w:r>
          </w:p>
        </w:tc>
        <w:tc>
          <w:tcPr>
            <w:tcW w:w="911" w:type="dxa"/>
            <w:noWrap/>
            <w:vAlign w:val="center"/>
            <w:hideMark/>
          </w:tcPr>
          <w:p w14:paraId="6A6753E7"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25,00</w:t>
            </w:r>
          </w:p>
        </w:tc>
        <w:tc>
          <w:tcPr>
            <w:tcW w:w="911" w:type="dxa"/>
            <w:noWrap/>
            <w:vAlign w:val="center"/>
            <w:hideMark/>
          </w:tcPr>
          <w:p w14:paraId="190AA235"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28,50</w:t>
            </w:r>
          </w:p>
        </w:tc>
        <w:tc>
          <w:tcPr>
            <w:tcW w:w="692" w:type="dxa"/>
            <w:noWrap/>
            <w:vAlign w:val="center"/>
            <w:hideMark/>
          </w:tcPr>
          <w:p w14:paraId="47FD8433"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24,50</w:t>
            </w:r>
          </w:p>
        </w:tc>
      </w:tr>
      <w:tr w:rsidR="00801F4F" w:rsidRPr="006801D9" w14:paraId="08107448" w14:textId="77777777" w:rsidTr="00FA0EEC">
        <w:trPr>
          <w:trHeight w:val="20"/>
        </w:trPr>
        <w:tc>
          <w:tcPr>
            <w:tcW w:w="409" w:type="dxa"/>
            <w:vMerge/>
            <w:hideMark/>
          </w:tcPr>
          <w:p w14:paraId="29064EB8" w14:textId="77777777" w:rsidR="00801F4F" w:rsidRPr="00461597" w:rsidRDefault="00801F4F" w:rsidP="00FA0EEC">
            <w:pPr>
              <w:pStyle w:val="Corpotesto"/>
              <w:ind w:left="213" w:right="226"/>
              <w:jc w:val="both"/>
              <w:rPr>
                <w:rFonts w:ascii="Titillium Web" w:hAnsi="Titillium Web" w:cstheme="minorHAnsi"/>
                <w:b/>
                <w:bCs/>
                <w:spacing w:val="-1"/>
                <w:sz w:val="12"/>
                <w:szCs w:val="12"/>
              </w:rPr>
            </w:pPr>
          </w:p>
        </w:tc>
        <w:tc>
          <w:tcPr>
            <w:tcW w:w="401" w:type="dxa"/>
            <w:noWrap/>
            <w:vAlign w:val="center"/>
            <w:hideMark/>
          </w:tcPr>
          <w:p w14:paraId="7206AC0D"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F</w:t>
            </w:r>
          </w:p>
        </w:tc>
        <w:tc>
          <w:tcPr>
            <w:tcW w:w="4390" w:type="dxa"/>
            <w:hideMark/>
          </w:tcPr>
          <w:p w14:paraId="05036C4E" w14:textId="77777777"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servizio riprese video e foto. Il concorrente è tenuto ad indicare il costo giornaliero (8 ore) per il servizio fotografico e di riprese video, con interviste ai protagonisti dell’evento</w:t>
            </w:r>
          </w:p>
        </w:tc>
        <w:tc>
          <w:tcPr>
            <w:tcW w:w="687" w:type="dxa"/>
            <w:noWrap/>
            <w:vAlign w:val="center"/>
            <w:hideMark/>
          </w:tcPr>
          <w:p w14:paraId="6F5EB04B"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500,00</w:t>
            </w:r>
          </w:p>
        </w:tc>
        <w:tc>
          <w:tcPr>
            <w:tcW w:w="980" w:type="dxa"/>
            <w:vAlign w:val="center"/>
            <w:hideMark/>
          </w:tcPr>
          <w:p w14:paraId="1E9E23C9"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giorno/uomo</w:t>
            </w:r>
          </w:p>
        </w:tc>
        <w:tc>
          <w:tcPr>
            <w:tcW w:w="911" w:type="dxa"/>
            <w:noWrap/>
            <w:vAlign w:val="center"/>
            <w:hideMark/>
          </w:tcPr>
          <w:p w14:paraId="33CF9748"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350,00</w:t>
            </w:r>
          </w:p>
        </w:tc>
        <w:tc>
          <w:tcPr>
            <w:tcW w:w="911" w:type="dxa"/>
            <w:noWrap/>
            <w:vAlign w:val="center"/>
            <w:hideMark/>
          </w:tcPr>
          <w:p w14:paraId="3DEB8703"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450,00</w:t>
            </w:r>
          </w:p>
        </w:tc>
        <w:tc>
          <w:tcPr>
            <w:tcW w:w="911" w:type="dxa"/>
            <w:noWrap/>
            <w:vAlign w:val="center"/>
            <w:hideMark/>
          </w:tcPr>
          <w:p w14:paraId="0FA76079"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395,00</w:t>
            </w:r>
          </w:p>
        </w:tc>
        <w:tc>
          <w:tcPr>
            <w:tcW w:w="692" w:type="dxa"/>
            <w:noWrap/>
            <w:vAlign w:val="center"/>
            <w:hideMark/>
          </w:tcPr>
          <w:p w14:paraId="232CC864"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398,33</w:t>
            </w:r>
          </w:p>
        </w:tc>
      </w:tr>
      <w:tr w:rsidR="00801F4F" w:rsidRPr="006801D9" w14:paraId="095C63BE" w14:textId="77777777" w:rsidTr="00FA0EEC">
        <w:trPr>
          <w:trHeight w:val="20"/>
        </w:trPr>
        <w:tc>
          <w:tcPr>
            <w:tcW w:w="409" w:type="dxa"/>
            <w:vMerge w:val="restart"/>
            <w:textDirection w:val="btLr"/>
            <w:vAlign w:val="center"/>
          </w:tcPr>
          <w:p w14:paraId="7A499A5C" w14:textId="77777777" w:rsidR="00801F4F" w:rsidRPr="00461597" w:rsidRDefault="00801F4F" w:rsidP="00FA0EEC">
            <w:pPr>
              <w:pStyle w:val="Corpotesto"/>
              <w:ind w:left="213" w:right="226"/>
              <w:jc w:val="center"/>
              <w:rPr>
                <w:rFonts w:ascii="Titillium Web" w:hAnsi="Titillium Web" w:cstheme="minorHAnsi"/>
                <w:b/>
                <w:bCs/>
                <w:spacing w:val="-1"/>
                <w:sz w:val="12"/>
                <w:szCs w:val="12"/>
              </w:rPr>
            </w:pPr>
            <w:r w:rsidRPr="00461597">
              <w:rPr>
                <w:rFonts w:ascii="Titillium Web" w:hAnsi="Titillium Web" w:cstheme="minorHAnsi"/>
                <w:b/>
                <w:bCs/>
                <w:spacing w:val="-1"/>
                <w:sz w:val="12"/>
                <w:szCs w:val="12"/>
              </w:rPr>
              <w:t>Procedura 2</w:t>
            </w:r>
          </w:p>
        </w:tc>
        <w:tc>
          <w:tcPr>
            <w:tcW w:w="401" w:type="dxa"/>
            <w:noWrap/>
            <w:vAlign w:val="center"/>
          </w:tcPr>
          <w:p w14:paraId="74B3C211"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A</w:t>
            </w:r>
          </w:p>
        </w:tc>
        <w:tc>
          <w:tcPr>
            <w:tcW w:w="4390" w:type="dxa"/>
          </w:tcPr>
          <w:p w14:paraId="2F28EFC0" w14:textId="77777777"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Quotazione del costo onnicomprensivo al mq. per la fornitura dei servizi di progettazione, allestimento “chiavi in mano”, gestione e manutenzione dello spazio espositivo</w:t>
            </w:r>
          </w:p>
        </w:tc>
        <w:tc>
          <w:tcPr>
            <w:tcW w:w="687" w:type="dxa"/>
            <w:noWrap/>
            <w:vAlign w:val="center"/>
          </w:tcPr>
          <w:p w14:paraId="5082700A"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850,00</w:t>
            </w:r>
          </w:p>
        </w:tc>
        <w:tc>
          <w:tcPr>
            <w:tcW w:w="980" w:type="dxa"/>
            <w:vAlign w:val="center"/>
          </w:tcPr>
          <w:p w14:paraId="371120ED"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mq</w:t>
            </w:r>
          </w:p>
        </w:tc>
        <w:tc>
          <w:tcPr>
            <w:tcW w:w="911" w:type="dxa"/>
            <w:noWrap/>
            <w:vAlign w:val="center"/>
          </w:tcPr>
          <w:p w14:paraId="2728F027"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755,06</w:t>
            </w:r>
          </w:p>
        </w:tc>
        <w:tc>
          <w:tcPr>
            <w:tcW w:w="911" w:type="dxa"/>
            <w:noWrap/>
            <w:vAlign w:val="center"/>
          </w:tcPr>
          <w:p w14:paraId="6891C9A7"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650,00</w:t>
            </w:r>
          </w:p>
        </w:tc>
        <w:tc>
          <w:tcPr>
            <w:tcW w:w="911" w:type="dxa"/>
            <w:noWrap/>
            <w:vAlign w:val="center"/>
          </w:tcPr>
          <w:p w14:paraId="3BF2026E"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800,00</w:t>
            </w:r>
          </w:p>
        </w:tc>
        <w:tc>
          <w:tcPr>
            <w:tcW w:w="692" w:type="dxa"/>
            <w:noWrap/>
            <w:vAlign w:val="center"/>
          </w:tcPr>
          <w:p w14:paraId="4E540BFA"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735,02</w:t>
            </w:r>
          </w:p>
        </w:tc>
      </w:tr>
      <w:tr w:rsidR="00801F4F" w:rsidRPr="006801D9" w14:paraId="62051251" w14:textId="77777777" w:rsidTr="00FA0EEC">
        <w:trPr>
          <w:trHeight w:val="20"/>
        </w:trPr>
        <w:tc>
          <w:tcPr>
            <w:tcW w:w="409" w:type="dxa"/>
            <w:vMerge/>
          </w:tcPr>
          <w:p w14:paraId="386B3568" w14:textId="77777777" w:rsidR="00801F4F" w:rsidRPr="006801D9" w:rsidRDefault="00801F4F" w:rsidP="00FA0EEC">
            <w:pPr>
              <w:pStyle w:val="Corpotesto"/>
              <w:ind w:left="213" w:right="226"/>
              <w:jc w:val="both"/>
              <w:rPr>
                <w:rFonts w:ascii="Titillium Web" w:hAnsi="Titillium Web" w:cstheme="minorHAnsi"/>
                <w:spacing w:val="-1"/>
                <w:sz w:val="12"/>
                <w:szCs w:val="12"/>
              </w:rPr>
            </w:pPr>
          </w:p>
        </w:tc>
        <w:tc>
          <w:tcPr>
            <w:tcW w:w="401" w:type="dxa"/>
            <w:noWrap/>
            <w:vAlign w:val="center"/>
          </w:tcPr>
          <w:p w14:paraId="03ECB844"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B</w:t>
            </w:r>
          </w:p>
        </w:tc>
        <w:tc>
          <w:tcPr>
            <w:tcW w:w="4390" w:type="dxa"/>
          </w:tcPr>
          <w:p w14:paraId="2B65C83E" w14:textId="77777777"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costo unitario (a persona) per “colazione di lavoro”, durante la realizzazione di “breakfast meeting” (succhi di frutta, caffè, tè, acqua minerale, mini muffin e/o brioche e pasticceria secca), comprensivo di personale in divisa (n. 1 cameriere)</w:t>
            </w:r>
          </w:p>
        </w:tc>
        <w:tc>
          <w:tcPr>
            <w:tcW w:w="687" w:type="dxa"/>
            <w:noWrap/>
            <w:vAlign w:val="center"/>
          </w:tcPr>
          <w:p w14:paraId="7ABFCD8F"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15,00</w:t>
            </w:r>
          </w:p>
        </w:tc>
        <w:tc>
          <w:tcPr>
            <w:tcW w:w="980" w:type="dxa"/>
            <w:vAlign w:val="center"/>
          </w:tcPr>
          <w:p w14:paraId="2B3DDB64"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persona</w:t>
            </w:r>
          </w:p>
        </w:tc>
        <w:tc>
          <w:tcPr>
            <w:tcW w:w="911" w:type="dxa"/>
            <w:noWrap/>
            <w:vAlign w:val="center"/>
          </w:tcPr>
          <w:p w14:paraId="7F16494A"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13,32</w:t>
            </w:r>
          </w:p>
        </w:tc>
        <w:tc>
          <w:tcPr>
            <w:tcW w:w="911" w:type="dxa"/>
            <w:noWrap/>
            <w:vAlign w:val="center"/>
          </w:tcPr>
          <w:p w14:paraId="1506A468"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10,00</w:t>
            </w:r>
          </w:p>
        </w:tc>
        <w:tc>
          <w:tcPr>
            <w:tcW w:w="911" w:type="dxa"/>
            <w:noWrap/>
            <w:vAlign w:val="center"/>
          </w:tcPr>
          <w:p w14:paraId="3ADDDB76"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14,00</w:t>
            </w:r>
          </w:p>
        </w:tc>
        <w:tc>
          <w:tcPr>
            <w:tcW w:w="692" w:type="dxa"/>
            <w:noWrap/>
            <w:vAlign w:val="center"/>
          </w:tcPr>
          <w:p w14:paraId="6C3901C0"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12,44</w:t>
            </w:r>
          </w:p>
        </w:tc>
      </w:tr>
      <w:tr w:rsidR="00801F4F" w:rsidRPr="006801D9" w14:paraId="432699C5" w14:textId="77777777" w:rsidTr="00FA0EEC">
        <w:trPr>
          <w:trHeight w:val="20"/>
        </w:trPr>
        <w:tc>
          <w:tcPr>
            <w:tcW w:w="409" w:type="dxa"/>
            <w:vMerge/>
          </w:tcPr>
          <w:p w14:paraId="779C9918" w14:textId="77777777" w:rsidR="00801F4F" w:rsidRPr="006801D9" w:rsidRDefault="00801F4F" w:rsidP="00FA0EEC">
            <w:pPr>
              <w:pStyle w:val="Corpotesto"/>
              <w:ind w:left="213" w:right="226"/>
              <w:jc w:val="both"/>
              <w:rPr>
                <w:rFonts w:ascii="Titillium Web" w:hAnsi="Titillium Web" w:cstheme="minorHAnsi"/>
                <w:spacing w:val="-1"/>
                <w:sz w:val="12"/>
                <w:szCs w:val="12"/>
              </w:rPr>
            </w:pPr>
          </w:p>
        </w:tc>
        <w:tc>
          <w:tcPr>
            <w:tcW w:w="401" w:type="dxa"/>
            <w:noWrap/>
            <w:vAlign w:val="center"/>
          </w:tcPr>
          <w:p w14:paraId="4DAA2E98"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C</w:t>
            </w:r>
          </w:p>
        </w:tc>
        <w:tc>
          <w:tcPr>
            <w:tcW w:w="4390" w:type="dxa"/>
          </w:tcPr>
          <w:p w14:paraId="14CA673F" w14:textId="6ABBFFB1"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costo unitario (a persona) “per light lunch”, durante la realizzazione di workshop (antipasti, primi, secondi, frutta, dolci, acqua minerale, vini rossi, rosati, bianchi). Il servizio dovrà essere erogato da personale in divisa (n. 2 camerieri)</w:t>
            </w:r>
          </w:p>
        </w:tc>
        <w:tc>
          <w:tcPr>
            <w:tcW w:w="687" w:type="dxa"/>
            <w:noWrap/>
            <w:vAlign w:val="center"/>
          </w:tcPr>
          <w:p w14:paraId="33E79030"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45,00</w:t>
            </w:r>
          </w:p>
        </w:tc>
        <w:tc>
          <w:tcPr>
            <w:tcW w:w="980" w:type="dxa"/>
            <w:vAlign w:val="center"/>
          </w:tcPr>
          <w:p w14:paraId="55935309"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per pasto (light lunch)</w:t>
            </w:r>
          </w:p>
        </w:tc>
        <w:tc>
          <w:tcPr>
            <w:tcW w:w="911" w:type="dxa"/>
            <w:noWrap/>
            <w:vAlign w:val="center"/>
          </w:tcPr>
          <w:p w14:paraId="0FE552B2"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39,97</w:t>
            </w:r>
          </w:p>
        </w:tc>
        <w:tc>
          <w:tcPr>
            <w:tcW w:w="911" w:type="dxa"/>
            <w:noWrap/>
            <w:vAlign w:val="center"/>
          </w:tcPr>
          <w:p w14:paraId="6BA222A5"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39,00</w:t>
            </w:r>
          </w:p>
        </w:tc>
        <w:tc>
          <w:tcPr>
            <w:tcW w:w="911" w:type="dxa"/>
            <w:noWrap/>
            <w:vAlign w:val="center"/>
          </w:tcPr>
          <w:p w14:paraId="461805AF"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42,00</w:t>
            </w:r>
          </w:p>
        </w:tc>
        <w:tc>
          <w:tcPr>
            <w:tcW w:w="692" w:type="dxa"/>
            <w:noWrap/>
            <w:vAlign w:val="center"/>
          </w:tcPr>
          <w:p w14:paraId="229EDA3A"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40,32</w:t>
            </w:r>
          </w:p>
        </w:tc>
      </w:tr>
      <w:tr w:rsidR="00801F4F" w:rsidRPr="006801D9" w14:paraId="25EA6756" w14:textId="77777777" w:rsidTr="00FA0EEC">
        <w:trPr>
          <w:trHeight w:val="20"/>
        </w:trPr>
        <w:tc>
          <w:tcPr>
            <w:tcW w:w="409" w:type="dxa"/>
            <w:vMerge/>
          </w:tcPr>
          <w:p w14:paraId="3AE5E4F9" w14:textId="77777777" w:rsidR="00801F4F" w:rsidRPr="006801D9" w:rsidRDefault="00801F4F" w:rsidP="00FA0EEC">
            <w:pPr>
              <w:pStyle w:val="Corpotesto"/>
              <w:ind w:left="213" w:right="226"/>
              <w:jc w:val="both"/>
              <w:rPr>
                <w:rFonts w:ascii="Titillium Web" w:hAnsi="Titillium Web" w:cstheme="minorHAnsi"/>
                <w:spacing w:val="-1"/>
                <w:sz w:val="12"/>
                <w:szCs w:val="12"/>
              </w:rPr>
            </w:pPr>
          </w:p>
        </w:tc>
        <w:tc>
          <w:tcPr>
            <w:tcW w:w="401" w:type="dxa"/>
            <w:noWrap/>
            <w:vAlign w:val="center"/>
          </w:tcPr>
          <w:p w14:paraId="208DE619"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D</w:t>
            </w:r>
          </w:p>
        </w:tc>
        <w:tc>
          <w:tcPr>
            <w:tcW w:w="4390" w:type="dxa"/>
          </w:tcPr>
          <w:p w14:paraId="7EC1050D" w14:textId="2C8C5616"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costo unitario (a persona) per aperitivo, da realizzare in orario pomeridiano (tartine salate, finger food, bevande varie tra cui succhi di frutta, acqua minerale e vini rossi e bianchi) (n. 2 camerieri)</w:t>
            </w:r>
          </w:p>
        </w:tc>
        <w:tc>
          <w:tcPr>
            <w:tcW w:w="687" w:type="dxa"/>
            <w:noWrap/>
            <w:vAlign w:val="center"/>
          </w:tcPr>
          <w:p w14:paraId="4DEBB7DC"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30,00</w:t>
            </w:r>
          </w:p>
        </w:tc>
        <w:tc>
          <w:tcPr>
            <w:tcW w:w="980" w:type="dxa"/>
            <w:vAlign w:val="center"/>
          </w:tcPr>
          <w:p w14:paraId="66F961BD"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persona</w:t>
            </w:r>
          </w:p>
        </w:tc>
        <w:tc>
          <w:tcPr>
            <w:tcW w:w="911" w:type="dxa"/>
            <w:noWrap/>
            <w:vAlign w:val="center"/>
          </w:tcPr>
          <w:p w14:paraId="0827824E"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26,65</w:t>
            </w:r>
          </w:p>
        </w:tc>
        <w:tc>
          <w:tcPr>
            <w:tcW w:w="911" w:type="dxa"/>
            <w:noWrap/>
            <w:vAlign w:val="center"/>
          </w:tcPr>
          <w:p w14:paraId="6EBE9A5D"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15,00</w:t>
            </w:r>
          </w:p>
        </w:tc>
        <w:tc>
          <w:tcPr>
            <w:tcW w:w="911" w:type="dxa"/>
            <w:noWrap/>
            <w:vAlign w:val="center"/>
          </w:tcPr>
          <w:p w14:paraId="2134CC2F"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28,00</w:t>
            </w:r>
          </w:p>
        </w:tc>
        <w:tc>
          <w:tcPr>
            <w:tcW w:w="692" w:type="dxa"/>
            <w:noWrap/>
            <w:vAlign w:val="center"/>
          </w:tcPr>
          <w:p w14:paraId="0189FE38"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23,22</w:t>
            </w:r>
          </w:p>
        </w:tc>
      </w:tr>
      <w:tr w:rsidR="00801F4F" w:rsidRPr="006801D9" w14:paraId="42B470DB" w14:textId="77777777" w:rsidTr="00FA0EEC">
        <w:trPr>
          <w:trHeight w:val="20"/>
        </w:trPr>
        <w:tc>
          <w:tcPr>
            <w:tcW w:w="409" w:type="dxa"/>
            <w:vMerge/>
          </w:tcPr>
          <w:p w14:paraId="2C8B228A" w14:textId="77777777" w:rsidR="00801F4F" w:rsidRPr="006801D9" w:rsidRDefault="00801F4F" w:rsidP="00FA0EEC">
            <w:pPr>
              <w:pStyle w:val="Corpotesto"/>
              <w:ind w:left="213" w:right="226"/>
              <w:jc w:val="both"/>
              <w:rPr>
                <w:rFonts w:ascii="Titillium Web" w:hAnsi="Titillium Web" w:cstheme="minorHAnsi"/>
                <w:spacing w:val="-1"/>
                <w:sz w:val="12"/>
                <w:szCs w:val="12"/>
              </w:rPr>
            </w:pPr>
          </w:p>
        </w:tc>
        <w:tc>
          <w:tcPr>
            <w:tcW w:w="401" w:type="dxa"/>
            <w:noWrap/>
            <w:vAlign w:val="center"/>
          </w:tcPr>
          <w:p w14:paraId="70B8D45F"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E</w:t>
            </w:r>
          </w:p>
        </w:tc>
        <w:tc>
          <w:tcPr>
            <w:tcW w:w="4390" w:type="dxa"/>
          </w:tcPr>
          <w:p w14:paraId="7DB82699" w14:textId="77777777"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servizio transfer, costo orario per il noleggio di un’autovettura, modello berlina, con autista (minimo 4+1 posti)</w:t>
            </w:r>
          </w:p>
        </w:tc>
        <w:tc>
          <w:tcPr>
            <w:tcW w:w="687" w:type="dxa"/>
            <w:noWrap/>
            <w:vAlign w:val="center"/>
          </w:tcPr>
          <w:p w14:paraId="1CADBB56"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30,00</w:t>
            </w:r>
          </w:p>
        </w:tc>
        <w:tc>
          <w:tcPr>
            <w:tcW w:w="980" w:type="dxa"/>
            <w:vAlign w:val="center"/>
          </w:tcPr>
          <w:p w14:paraId="4FF8A08B"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costo orario</w:t>
            </w:r>
          </w:p>
        </w:tc>
        <w:tc>
          <w:tcPr>
            <w:tcW w:w="911" w:type="dxa"/>
            <w:noWrap/>
            <w:vAlign w:val="center"/>
          </w:tcPr>
          <w:p w14:paraId="1033C738"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26,65</w:t>
            </w:r>
          </w:p>
        </w:tc>
        <w:tc>
          <w:tcPr>
            <w:tcW w:w="911" w:type="dxa"/>
            <w:noWrap/>
            <w:vAlign w:val="center"/>
          </w:tcPr>
          <w:p w14:paraId="2D6E7734"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23,00</w:t>
            </w:r>
          </w:p>
        </w:tc>
        <w:tc>
          <w:tcPr>
            <w:tcW w:w="911" w:type="dxa"/>
            <w:noWrap/>
            <w:vAlign w:val="center"/>
          </w:tcPr>
          <w:p w14:paraId="01DFC0CA"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30,00</w:t>
            </w:r>
          </w:p>
        </w:tc>
        <w:tc>
          <w:tcPr>
            <w:tcW w:w="692" w:type="dxa"/>
            <w:noWrap/>
            <w:vAlign w:val="center"/>
          </w:tcPr>
          <w:p w14:paraId="7FF3B003" w14:textId="77777777" w:rsidR="00801F4F" w:rsidRPr="006801D9" w:rsidRDefault="00801F4F" w:rsidP="00FA0EEC">
            <w:pPr>
              <w:pStyle w:val="Corpotesto"/>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26,55</w:t>
            </w:r>
          </w:p>
        </w:tc>
      </w:tr>
      <w:tr w:rsidR="00801F4F" w:rsidRPr="006801D9" w14:paraId="60282622" w14:textId="77777777" w:rsidTr="00FA0EEC">
        <w:trPr>
          <w:trHeight w:val="20"/>
        </w:trPr>
        <w:tc>
          <w:tcPr>
            <w:tcW w:w="409" w:type="dxa"/>
            <w:vMerge/>
          </w:tcPr>
          <w:p w14:paraId="1F5A6597" w14:textId="77777777" w:rsidR="00801F4F" w:rsidRPr="006801D9" w:rsidRDefault="00801F4F" w:rsidP="00FA0EEC">
            <w:pPr>
              <w:pStyle w:val="Corpotesto"/>
              <w:ind w:left="213" w:right="226"/>
              <w:jc w:val="both"/>
              <w:rPr>
                <w:rFonts w:ascii="Titillium Web" w:hAnsi="Titillium Web" w:cstheme="minorHAnsi"/>
                <w:spacing w:val="-1"/>
                <w:sz w:val="12"/>
                <w:szCs w:val="12"/>
              </w:rPr>
            </w:pPr>
          </w:p>
        </w:tc>
        <w:tc>
          <w:tcPr>
            <w:tcW w:w="401" w:type="dxa"/>
            <w:noWrap/>
            <w:vAlign w:val="center"/>
          </w:tcPr>
          <w:p w14:paraId="69F81823" w14:textId="77777777" w:rsidR="00801F4F" w:rsidRPr="006801D9" w:rsidRDefault="00801F4F" w:rsidP="00FA0EEC">
            <w:pPr>
              <w:pStyle w:val="Corpotesto"/>
              <w:ind w:right="23"/>
              <w:jc w:val="center"/>
              <w:rPr>
                <w:rFonts w:ascii="Titillium Web" w:hAnsi="Titillium Web" w:cstheme="minorHAnsi"/>
                <w:spacing w:val="-1"/>
                <w:sz w:val="12"/>
                <w:szCs w:val="12"/>
              </w:rPr>
            </w:pPr>
            <w:r w:rsidRPr="006801D9">
              <w:rPr>
                <w:rFonts w:ascii="Titillium Web" w:hAnsi="Titillium Web" w:cstheme="minorHAnsi"/>
                <w:spacing w:val="-1"/>
                <w:sz w:val="12"/>
                <w:szCs w:val="12"/>
              </w:rPr>
              <w:t>F</w:t>
            </w:r>
          </w:p>
        </w:tc>
        <w:tc>
          <w:tcPr>
            <w:tcW w:w="4390" w:type="dxa"/>
          </w:tcPr>
          <w:p w14:paraId="6DC2DF16" w14:textId="77777777" w:rsidR="00801F4F" w:rsidRPr="006801D9" w:rsidRDefault="00801F4F" w:rsidP="00FA0EEC">
            <w:pPr>
              <w:pStyle w:val="Corpotesto"/>
              <w:ind w:left="57" w:right="57"/>
              <w:jc w:val="both"/>
              <w:rPr>
                <w:rFonts w:ascii="Titillium Web" w:hAnsi="Titillium Web" w:cstheme="minorHAnsi"/>
                <w:spacing w:val="-1"/>
                <w:sz w:val="12"/>
                <w:szCs w:val="12"/>
              </w:rPr>
            </w:pPr>
            <w:r w:rsidRPr="006801D9">
              <w:rPr>
                <w:rFonts w:ascii="Titillium Web" w:hAnsi="Titillium Web" w:cstheme="minorHAnsi"/>
                <w:spacing w:val="-1"/>
                <w:sz w:val="12"/>
                <w:szCs w:val="12"/>
              </w:rPr>
              <w:t>servizio riprese video e foto. Il concorrente è tenuto ad indicare il costo giornaliero (8 ore) per il servizio fotografico e di riprese video, con interviste ai protagonisti dell’evento</w:t>
            </w:r>
          </w:p>
        </w:tc>
        <w:tc>
          <w:tcPr>
            <w:tcW w:w="687" w:type="dxa"/>
            <w:noWrap/>
            <w:vAlign w:val="center"/>
          </w:tcPr>
          <w:p w14:paraId="67F5502B"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500,00</w:t>
            </w:r>
          </w:p>
        </w:tc>
        <w:tc>
          <w:tcPr>
            <w:tcW w:w="980" w:type="dxa"/>
            <w:vAlign w:val="center"/>
          </w:tcPr>
          <w:p w14:paraId="49116128"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giorno/uomo</w:t>
            </w:r>
          </w:p>
        </w:tc>
        <w:tc>
          <w:tcPr>
            <w:tcW w:w="911" w:type="dxa"/>
            <w:noWrap/>
            <w:vAlign w:val="center"/>
          </w:tcPr>
          <w:p w14:paraId="3AC905B6"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444,15</w:t>
            </w:r>
          </w:p>
        </w:tc>
        <w:tc>
          <w:tcPr>
            <w:tcW w:w="911" w:type="dxa"/>
            <w:noWrap/>
            <w:vAlign w:val="center"/>
          </w:tcPr>
          <w:p w14:paraId="4CECEA36"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200,00</w:t>
            </w:r>
          </w:p>
        </w:tc>
        <w:tc>
          <w:tcPr>
            <w:tcW w:w="911" w:type="dxa"/>
            <w:noWrap/>
            <w:vAlign w:val="center"/>
          </w:tcPr>
          <w:p w14:paraId="37E20451" w14:textId="77777777" w:rsidR="00801F4F" w:rsidRPr="006801D9" w:rsidRDefault="00801F4F" w:rsidP="00FA0EEC">
            <w:pPr>
              <w:pStyle w:val="Corpotesto"/>
              <w:ind w:left="57" w:right="57"/>
              <w:jc w:val="center"/>
              <w:rPr>
                <w:rFonts w:ascii="Titillium Web" w:hAnsi="Titillium Web" w:cstheme="minorHAnsi"/>
                <w:spacing w:val="-1"/>
                <w:sz w:val="12"/>
                <w:szCs w:val="12"/>
              </w:rPr>
            </w:pPr>
            <w:r w:rsidRPr="006801D9">
              <w:rPr>
                <w:rFonts w:ascii="Titillium Web" w:hAnsi="Titillium Web" w:cstheme="minorHAnsi"/>
                <w:spacing w:val="-1"/>
                <w:sz w:val="12"/>
                <w:szCs w:val="12"/>
              </w:rPr>
              <w:t>500,00</w:t>
            </w:r>
          </w:p>
        </w:tc>
        <w:tc>
          <w:tcPr>
            <w:tcW w:w="692" w:type="dxa"/>
            <w:noWrap/>
            <w:vAlign w:val="center"/>
          </w:tcPr>
          <w:p w14:paraId="74CC6413" w14:textId="77777777" w:rsidR="00801F4F" w:rsidRPr="006801D9" w:rsidRDefault="00801F4F" w:rsidP="00FA0EEC">
            <w:pPr>
              <w:pStyle w:val="Corpotesto"/>
              <w:keepNext/>
              <w:ind w:left="57" w:right="57"/>
              <w:jc w:val="center"/>
              <w:rPr>
                <w:rFonts w:ascii="Titillium Web" w:hAnsi="Titillium Web" w:cstheme="minorHAnsi"/>
                <w:b/>
                <w:bCs/>
                <w:spacing w:val="-1"/>
                <w:sz w:val="12"/>
                <w:szCs w:val="12"/>
              </w:rPr>
            </w:pPr>
            <w:r w:rsidRPr="006801D9">
              <w:rPr>
                <w:rFonts w:ascii="Titillium Web" w:hAnsi="Titillium Web" w:cstheme="minorHAnsi"/>
                <w:b/>
                <w:bCs/>
                <w:spacing w:val="-1"/>
                <w:sz w:val="12"/>
                <w:szCs w:val="12"/>
              </w:rPr>
              <w:t>381,38</w:t>
            </w:r>
          </w:p>
        </w:tc>
      </w:tr>
    </w:tbl>
    <w:p w14:paraId="4E2E7751" w14:textId="77777777" w:rsidR="00801F4F" w:rsidRDefault="00801F4F" w:rsidP="00801F4F">
      <w:pPr>
        <w:spacing w:after="240"/>
      </w:pPr>
    </w:p>
    <w:p w14:paraId="1D432DFC" w14:textId="1B3EAAE3" w:rsidR="00801F4F" w:rsidRDefault="00801F4F" w:rsidP="00801F4F">
      <w:pPr>
        <w:spacing w:after="240"/>
      </w:pPr>
      <w:r w:rsidRPr="0055655F">
        <w:t>Ne deriva che i prezzi medi relativi alle seguenti tipologie di spesa, eventualmente aumentati e/o diminuiti con arrotondamento, porteranno all’indicazione dei seguenti valori:</w:t>
      </w:r>
    </w:p>
    <w:tbl>
      <w:tblPr>
        <w:tblStyle w:val="Grigliatabella"/>
        <w:tblW w:w="0" w:type="auto"/>
        <w:jc w:val="center"/>
        <w:tblLook w:val="04A0" w:firstRow="1" w:lastRow="0" w:firstColumn="1" w:lastColumn="0" w:noHBand="0" w:noVBand="1"/>
      </w:tblPr>
      <w:tblGrid>
        <w:gridCol w:w="573"/>
        <w:gridCol w:w="4193"/>
        <w:gridCol w:w="840"/>
        <w:gridCol w:w="747"/>
        <w:gridCol w:w="747"/>
        <w:gridCol w:w="950"/>
      </w:tblGrid>
      <w:tr w:rsidR="00801F4F" w:rsidRPr="0055655F" w14:paraId="63F7668D" w14:textId="77777777" w:rsidTr="00FA0EEC">
        <w:trPr>
          <w:trHeight w:val="576"/>
          <w:jc w:val="center"/>
        </w:trPr>
        <w:tc>
          <w:tcPr>
            <w:tcW w:w="573" w:type="dxa"/>
            <w:noWrap/>
            <w:vAlign w:val="center"/>
            <w:hideMark/>
          </w:tcPr>
          <w:p w14:paraId="3547E634" w14:textId="77777777" w:rsidR="00801F4F" w:rsidRPr="0055655F" w:rsidRDefault="00801F4F" w:rsidP="00FA0EEC">
            <w:pPr>
              <w:pStyle w:val="Corpotesto"/>
              <w:tabs>
                <w:tab w:val="left" w:pos="514"/>
              </w:tabs>
              <w:ind w:left="-49" w:right="-108"/>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Voci</w:t>
            </w:r>
          </w:p>
        </w:tc>
        <w:tc>
          <w:tcPr>
            <w:tcW w:w="4193" w:type="dxa"/>
            <w:noWrap/>
            <w:vAlign w:val="center"/>
            <w:hideMark/>
          </w:tcPr>
          <w:p w14:paraId="22572193" w14:textId="77777777" w:rsidR="00801F4F" w:rsidRPr="0055655F" w:rsidRDefault="00801F4F" w:rsidP="00FA0EEC">
            <w:pPr>
              <w:pStyle w:val="Corpotesto"/>
              <w:tabs>
                <w:tab w:val="left" w:pos="514"/>
              </w:tabs>
              <w:ind w:right="-108"/>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Descrizione</w:t>
            </w:r>
          </w:p>
        </w:tc>
        <w:tc>
          <w:tcPr>
            <w:tcW w:w="840" w:type="dxa"/>
            <w:vAlign w:val="center"/>
            <w:hideMark/>
          </w:tcPr>
          <w:p w14:paraId="03AFBF3A" w14:textId="77777777" w:rsidR="00801F4F" w:rsidRPr="0055655F" w:rsidRDefault="00801F4F" w:rsidP="00FA0EEC">
            <w:pPr>
              <w:pStyle w:val="Corpotesto"/>
              <w:tabs>
                <w:tab w:val="left" w:pos="514"/>
              </w:tabs>
              <w:ind w:right="-108"/>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 xml:space="preserve">Da </w:t>
            </w:r>
          </w:p>
        </w:tc>
        <w:tc>
          <w:tcPr>
            <w:tcW w:w="747" w:type="dxa"/>
            <w:vAlign w:val="center"/>
            <w:hideMark/>
          </w:tcPr>
          <w:p w14:paraId="0847B7BD" w14:textId="77777777" w:rsidR="00801F4F" w:rsidRPr="0055655F" w:rsidRDefault="00801F4F" w:rsidP="00FA0EEC">
            <w:pPr>
              <w:pStyle w:val="Corpotesto"/>
              <w:tabs>
                <w:tab w:val="left" w:pos="514"/>
              </w:tabs>
              <w:ind w:left="-68" w:right="-108"/>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A</w:t>
            </w:r>
          </w:p>
        </w:tc>
        <w:tc>
          <w:tcPr>
            <w:tcW w:w="747" w:type="dxa"/>
            <w:vAlign w:val="center"/>
          </w:tcPr>
          <w:p w14:paraId="426092D2" w14:textId="77777777" w:rsidR="00801F4F" w:rsidRPr="0055655F" w:rsidRDefault="00801F4F" w:rsidP="00FA0EEC">
            <w:pPr>
              <w:pStyle w:val="Corpotesto"/>
              <w:tabs>
                <w:tab w:val="left" w:pos="514"/>
              </w:tabs>
              <w:ind w:left="-68" w:right="-108"/>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Media</w:t>
            </w:r>
          </w:p>
        </w:tc>
        <w:tc>
          <w:tcPr>
            <w:tcW w:w="950" w:type="dxa"/>
            <w:vAlign w:val="center"/>
          </w:tcPr>
          <w:p w14:paraId="0DED4EDF" w14:textId="77777777" w:rsidR="00801F4F" w:rsidRPr="0055655F" w:rsidRDefault="00801F4F" w:rsidP="00FA0EEC">
            <w:pPr>
              <w:pStyle w:val="Corpotesto"/>
              <w:tabs>
                <w:tab w:val="left" w:pos="361"/>
              </w:tabs>
              <w:ind w:left="-68" w:right="-74"/>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Valore proposto arrotondato</w:t>
            </w:r>
          </w:p>
        </w:tc>
      </w:tr>
      <w:tr w:rsidR="00801F4F" w:rsidRPr="0055655F" w14:paraId="244BC1F8" w14:textId="77777777" w:rsidTr="00FA0EEC">
        <w:trPr>
          <w:trHeight w:val="340"/>
          <w:jc w:val="center"/>
        </w:trPr>
        <w:tc>
          <w:tcPr>
            <w:tcW w:w="573" w:type="dxa"/>
            <w:noWrap/>
            <w:vAlign w:val="center"/>
            <w:hideMark/>
          </w:tcPr>
          <w:p w14:paraId="25260923" w14:textId="77777777" w:rsidR="00801F4F" w:rsidRPr="0055655F" w:rsidRDefault="00801F4F" w:rsidP="00FA0EEC">
            <w:pPr>
              <w:pStyle w:val="Corpotesto"/>
              <w:ind w:right="23"/>
              <w:jc w:val="center"/>
              <w:rPr>
                <w:rFonts w:asciiTheme="minorHAnsi" w:hAnsiTheme="minorHAnsi" w:cstheme="minorHAnsi"/>
                <w:spacing w:val="-1"/>
                <w:sz w:val="16"/>
                <w:szCs w:val="12"/>
              </w:rPr>
            </w:pPr>
            <w:r w:rsidRPr="0055655F">
              <w:rPr>
                <w:rFonts w:asciiTheme="minorHAnsi" w:hAnsiTheme="minorHAnsi" w:cstheme="minorHAnsi"/>
                <w:spacing w:val="-1"/>
                <w:sz w:val="16"/>
                <w:szCs w:val="12"/>
              </w:rPr>
              <w:t>A</w:t>
            </w:r>
          </w:p>
        </w:tc>
        <w:tc>
          <w:tcPr>
            <w:tcW w:w="4193" w:type="dxa"/>
            <w:hideMark/>
          </w:tcPr>
          <w:p w14:paraId="3F395C5B" w14:textId="77777777" w:rsidR="00801F4F" w:rsidRPr="0055655F" w:rsidRDefault="00801F4F" w:rsidP="00FA0EEC">
            <w:pPr>
              <w:pStyle w:val="Corpotesto"/>
              <w:ind w:left="21"/>
              <w:jc w:val="both"/>
              <w:rPr>
                <w:rFonts w:asciiTheme="minorHAnsi" w:hAnsiTheme="minorHAnsi" w:cstheme="minorHAnsi"/>
                <w:spacing w:val="-1"/>
                <w:sz w:val="12"/>
                <w:szCs w:val="12"/>
              </w:rPr>
            </w:pPr>
            <w:r w:rsidRPr="0055655F">
              <w:rPr>
                <w:rFonts w:asciiTheme="minorHAnsi" w:hAnsiTheme="minorHAnsi" w:cstheme="minorHAnsi"/>
                <w:spacing w:val="-1"/>
                <w:sz w:val="12"/>
                <w:szCs w:val="12"/>
              </w:rPr>
              <w:t>Quotazione del costo onnicomprensivo al mq. per la fornitura dei servizi di progettazione, allestimento “chiavi in mano”, gestione e manutenzione dello spazio espositivo</w:t>
            </w:r>
          </w:p>
        </w:tc>
        <w:tc>
          <w:tcPr>
            <w:tcW w:w="840" w:type="dxa"/>
            <w:noWrap/>
            <w:vAlign w:val="center"/>
            <w:hideMark/>
          </w:tcPr>
          <w:p w14:paraId="1698E454" w14:textId="77777777" w:rsidR="00801F4F" w:rsidRPr="0055655F" w:rsidRDefault="00801F4F" w:rsidP="00FA0EEC">
            <w:pPr>
              <w:pStyle w:val="Corpotesto"/>
              <w:ind w:left="-67"/>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707,00</w:t>
            </w:r>
          </w:p>
        </w:tc>
        <w:tc>
          <w:tcPr>
            <w:tcW w:w="747" w:type="dxa"/>
            <w:noWrap/>
            <w:vAlign w:val="center"/>
            <w:hideMark/>
          </w:tcPr>
          <w:p w14:paraId="027C391F" w14:textId="77777777" w:rsidR="00801F4F" w:rsidRPr="0055655F" w:rsidRDefault="00801F4F" w:rsidP="00FA0EEC">
            <w:pPr>
              <w:pStyle w:val="Corpotesto"/>
              <w:ind w:left="-70" w:right="-74"/>
              <w:jc w:val="center"/>
              <w:rPr>
                <w:rFonts w:asciiTheme="minorHAnsi" w:hAnsiTheme="minorHAnsi" w:cstheme="minorHAnsi"/>
                <w:spacing w:val="-1"/>
                <w:sz w:val="16"/>
                <w:szCs w:val="12"/>
              </w:rPr>
            </w:pPr>
            <w:r w:rsidRPr="0055655F">
              <w:rPr>
                <w:rFonts w:asciiTheme="minorHAnsi" w:hAnsiTheme="minorHAnsi" w:cstheme="minorHAnsi"/>
                <w:bCs/>
                <w:spacing w:val="-1"/>
                <w:sz w:val="16"/>
                <w:szCs w:val="12"/>
              </w:rPr>
              <w:t>735,02</w:t>
            </w:r>
          </w:p>
        </w:tc>
        <w:tc>
          <w:tcPr>
            <w:tcW w:w="747" w:type="dxa"/>
            <w:vAlign w:val="center"/>
          </w:tcPr>
          <w:p w14:paraId="72A7FC20" w14:textId="77777777" w:rsidR="00801F4F" w:rsidRPr="0055655F" w:rsidRDefault="00801F4F" w:rsidP="00FA0EEC">
            <w:pPr>
              <w:pStyle w:val="Corpotesto"/>
              <w:ind w:left="-70" w:right="-74"/>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 xml:space="preserve">   721,01   </w:t>
            </w:r>
          </w:p>
        </w:tc>
        <w:tc>
          <w:tcPr>
            <w:tcW w:w="950" w:type="dxa"/>
            <w:vAlign w:val="center"/>
          </w:tcPr>
          <w:p w14:paraId="31805BBA" w14:textId="77777777" w:rsidR="00801F4F" w:rsidRPr="0055655F" w:rsidRDefault="00801F4F" w:rsidP="00FA0EEC">
            <w:pPr>
              <w:pStyle w:val="Corpotesto"/>
              <w:ind w:left="-70" w:right="-74"/>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720,00</w:t>
            </w:r>
          </w:p>
        </w:tc>
      </w:tr>
      <w:tr w:rsidR="00801F4F" w:rsidRPr="0055655F" w14:paraId="053BEDA3" w14:textId="77777777" w:rsidTr="00FA0EEC">
        <w:trPr>
          <w:trHeight w:val="567"/>
          <w:jc w:val="center"/>
        </w:trPr>
        <w:tc>
          <w:tcPr>
            <w:tcW w:w="573" w:type="dxa"/>
            <w:noWrap/>
            <w:vAlign w:val="center"/>
            <w:hideMark/>
          </w:tcPr>
          <w:p w14:paraId="095D00F1" w14:textId="77777777" w:rsidR="00801F4F" w:rsidRPr="0055655F" w:rsidRDefault="00801F4F" w:rsidP="00FA0EEC">
            <w:pPr>
              <w:pStyle w:val="Corpotesto"/>
              <w:ind w:right="23"/>
              <w:jc w:val="center"/>
              <w:rPr>
                <w:rFonts w:asciiTheme="minorHAnsi" w:hAnsiTheme="minorHAnsi" w:cstheme="minorHAnsi"/>
                <w:spacing w:val="-1"/>
                <w:sz w:val="16"/>
                <w:szCs w:val="12"/>
              </w:rPr>
            </w:pPr>
            <w:r w:rsidRPr="0055655F">
              <w:rPr>
                <w:rFonts w:asciiTheme="minorHAnsi" w:hAnsiTheme="minorHAnsi" w:cstheme="minorHAnsi"/>
                <w:spacing w:val="-1"/>
                <w:sz w:val="16"/>
                <w:szCs w:val="12"/>
              </w:rPr>
              <w:t>B</w:t>
            </w:r>
          </w:p>
        </w:tc>
        <w:tc>
          <w:tcPr>
            <w:tcW w:w="4193" w:type="dxa"/>
            <w:hideMark/>
          </w:tcPr>
          <w:p w14:paraId="4FF9D9B8" w14:textId="77777777" w:rsidR="00801F4F" w:rsidRPr="0055655F" w:rsidRDefault="00801F4F" w:rsidP="00FA0EEC">
            <w:pPr>
              <w:pStyle w:val="Corpotesto"/>
              <w:ind w:left="21"/>
              <w:jc w:val="both"/>
              <w:rPr>
                <w:rFonts w:asciiTheme="minorHAnsi" w:hAnsiTheme="minorHAnsi" w:cstheme="minorHAnsi"/>
                <w:spacing w:val="-1"/>
                <w:sz w:val="12"/>
                <w:szCs w:val="12"/>
              </w:rPr>
            </w:pPr>
            <w:r w:rsidRPr="0055655F">
              <w:rPr>
                <w:rFonts w:asciiTheme="minorHAnsi" w:hAnsiTheme="minorHAnsi" w:cstheme="minorHAnsi"/>
                <w:spacing w:val="-1"/>
                <w:sz w:val="12"/>
                <w:szCs w:val="12"/>
              </w:rPr>
              <w:t>costo unitario (a persona) per “colazione di lavoro”, durante la realizzazione di “breakfast meeting” (succhi di frutta, caffè, tè, acqua minerale, mini muffin e/o brioche e pasticceria secca), comprensivo di personale in divisa (n. 1 cameriere)</w:t>
            </w:r>
          </w:p>
        </w:tc>
        <w:tc>
          <w:tcPr>
            <w:tcW w:w="840" w:type="dxa"/>
            <w:noWrap/>
            <w:vAlign w:val="center"/>
            <w:hideMark/>
          </w:tcPr>
          <w:p w14:paraId="3F223C37" w14:textId="77777777" w:rsidR="00801F4F" w:rsidRPr="0055655F" w:rsidRDefault="00801F4F" w:rsidP="00FA0EEC">
            <w:pPr>
              <w:pStyle w:val="Corpotesto"/>
              <w:ind w:left="-67"/>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11,75</w:t>
            </w:r>
          </w:p>
        </w:tc>
        <w:tc>
          <w:tcPr>
            <w:tcW w:w="747" w:type="dxa"/>
            <w:noWrap/>
            <w:vAlign w:val="center"/>
            <w:hideMark/>
          </w:tcPr>
          <w:p w14:paraId="1F6CD1B0" w14:textId="77777777" w:rsidR="00801F4F" w:rsidRPr="0055655F" w:rsidRDefault="00801F4F" w:rsidP="00FA0EEC">
            <w:pPr>
              <w:pStyle w:val="Corpotesto"/>
              <w:ind w:left="-67"/>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12,44</w:t>
            </w:r>
          </w:p>
        </w:tc>
        <w:tc>
          <w:tcPr>
            <w:tcW w:w="747" w:type="dxa"/>
            <w:vAlign w:val="center"/>
          </w:tcPr>
          <w:p w14:paraId="2CB52042" w14:textId="77777777" w:rsidR="00801F4F" w:rsidRPr="0055655F" w:rsidRDefault="00801F4F" w:rsidP="00FA0EEC">
            <w:pPr>
              <w:pStyle w:val="Corpotesto"/>
              <w:ind w:left="-70" w:right="-74"/>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 xml:space="preserve">      12,10   </w:t>
            </w:r>
          </w:p>
        </w:tc>
        <w:tc>
          <w:tcPr>
            <w:tcW w:w="950" w:type="dxa"/>
            <w:vAlign w:val="center"/>
          </w:tcPr>
          <w:p w14:paraId="3BA35D37" w14:textId="77777777" w:rsidR="00801F4F" w:rsidRPr="0055655F" w:rsidRDefault="00801F4F" w:rsidP="00FA0EEC">
            <w:pPr>
              <w:pStyle w:val="Corpotesto"/>
              <w:ind w:left="-70" w:right="-74"/>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12,00</w:t>
            </w:r>
          </w:p>
        </w:tc>
      </w:tr>
      <w:tr w:rsidR="00801F4F" w:rsidRPr="0055655F" w14:paraId="70B2EE7B" w14:textId="77777777" w:rsidTr="00FA0EEC">
        <w:trPr>
          <w:trHeight w:val="541"/>
          <w:jc w:val="center"/>
        </w:trPr>
        <w:tc>
          <w:tcPr>
            <w:tcW w:w="573" w:type="dxa"/>
            <w:noWrap/>
            <w:vAlign w:val="center"/>
            <w:hideMark/>
          </w:tcPr>
          <w:p w14:paraId="671833D8" w14:textId="77777777" w:rsidR="00801F4F" w:rsidRPr="0055655F" w:rsidRDefault="00801F4F" w:rsidP="00FA0EEC">
            <w:pPr>
              <w:pStyle w:val="Corpotesto"/>
              <w:ind w:right="23"/>
              <w:jc w:val="center"/>
              <w:rPr>
                <w:rFonts w:asciiTheme="minorHAnsi" w:hAnsiTheme="minorHAnsi" w:cstheme="minorHAnsi"/>
                <w:spacing w:val="-1"/>
                <w:sz w:val="16"/>
                <w:szCs w:val="12"/>
              </w:rPr>
            </w:pPr>
            <w:r w:rsidRPr="0055655F">
              <w:rPr>
                <w:rFonts w:asciiTheme="minorHAnsi" w:hAnsiTheme="minorHAnsi" w:cstheme="minorHAnsi"/>
                <w:spacing w:val="-1"/>
                <w:sz w:val="16"/>
                <w:szCs w:val="12"/>
              </w:rPr>
              <w:t>C</w:t>
            </w:r>
          </w:p>
        </w:tc>
        <w:tc>
          <w:tcPr>
            <w:tcW w:w="4193" w:type="dxa"/>
            <w:hideMark/>
          </w:tcPr>
          <w:p w14:paraId="2689D710" w14:textId="07F14F9E" w:rsidR="00801F4F" w:rsidRPr="0055655F" w:rsidRDefault="00801F4F" w:rsidP="00FA0EEC">
            <w:pPr>
              <w:pStyle w:val="Corpotesto"/>
              <w:ind w:left="21"/>
              <w:jc w:val="both"/>
              <w:rPr>
                <w:rFonts w:asciiTheme="minorHAnsi" w:hAnsiTheme="minorHAnsi" w:cstheme="minorHAnsi"/>
                <w:spacing w:val="-1"/>
                <w:sz w:val="12"/>
                <w:szCs w:val="12"/>
              </w:rPr>
            </w:pPr>
            <w:r w:rsidRPr="0055655F">
              <w:rPr>
                <w:rFonts w:asciiTheme="minorHAnsi" w:hAnsiTheme="minorHAnsi" w:cstheme="minorHAnsi"/>
                <w:spacing w:val="-1"/>
                <w:sz w:val="12"/>
                <w:szCs w:val="12"/>
              </w:rPr>
              <w:t>costo unitario (a persona) “per light lunch”, durante la realizzazione di workshop (antipasti, primi, secondi, frutta, dolci, acqua minerale, vini rossi, rosati, bianchi</w:t>
            </w:r>
            <w:r w:rsidR="00F33668">
              <w:rPr>
                <w:rFonts w:asciiTheme="minorHAnsi" w:hAnsiTheme="minorHAnsi" w:cstheme="minorHAnsi"/>
                <w:color w:val="FF0000"/>
                <w:spacing w:val="-1"/>
                <w:sz w:val="12"/>
                <w:szCs w:val="12"/>
              </w:rPr>
              <w:t xml:space="preserve"> </w:t>
            </w:r>
            <w:r w:rsidRPr="0055655F">
              <w:rPr>
                <w:rFonts w:asciiTheme="minorHAnsi" w:hAnsiTheme="minorHAnsi" w:cstheme="minorHAnsi"/>
                <w:spacing w:val="-1"/>
                <w:sz w:val="12"/>
                <w:szCs w:val="12"/>
              </w:rPr>
              <w:t>). Il servizio dovrà essere erogato da personale in divisa (n. 2 camerieri)</w:t>
            </w:r>
          </w:p>
        </w:tc>
        <w:tc>
          <w:tcPr>
            <w:tcW w:w="840" w:type="dxa"/>
            <w:noWrap/>
            <w:vAlign w:val="center"/>
            <w:hideMark/>
          </w:tcPr>
          <w:p w14:paraId="110C4261" w14:textId="77777777" w:rsidR="00801F4F" w:rsidRPr="0055655F" w:rsidRDefault="00801F4F" w:rsidP="00FA0EEC">
            <w:pPr>
              <w:pStyle w:val="Corpotesto"/>
              <w:ind w:left="-67"/>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35,17</w:t>
            </w:r>
          </w:p>
        </w:tc>
        <w:tc>
          <w:tcPr>
            <w:tcW w:w="747" w:type="dxa"/>
            <w:vAlign w:val="center"/>
            <w:hideMark/>
          </w:tcPr>
          <w:p w14:paraId="1E5B343E" w14:textId="77777777" w:rsidR="00801F4F" w:rsidRPr="0055655F" w:rsidRDefault="00801F4F" w:rsidP="00FA0EEC">
            <w:pPr>
              <w:pStyle w:val="Corpotesto"/>
              <w:ind w:left="-67"/>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40,32</w:t>
            </w:r>
          </w:p>
        </w:tc>
        <w:tc>
          <w:tcPr>
            <w:tcW w:w="747" w:type="dxa"/>
            <w:vAlign w:val="center"/>
          </w:tcPr>
          <w:p w14:paraId="2BF0006C" w14:textId="77777777" w:rsidR="00801F4F" w:rsidRPr="0055655F" w:rsidRDefault="00801F4F" w:rsidP="00FA0EEC">
            <w:pPr>
              <w:pStyle w:val="Corpotesto"/>
              <w:ind w:left="-70" w:right="-74"/>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 xml:space="preserve">      37,75   </w:t>
            </w:r>
          </w:p>
        </w:tc>
        <w:tc>
          <w:tcPr>
            <w:tcW w:w="950" w:type="dxa"/>
            <w:vAlign w:val="center"/>
          </w:tcPr>
          <w:p w14:paraId="314CF72B" w14:textId="77777777" w:rsidR="00801F4F" w:rsidRPr="0055655F" w:rsidRDefault="00801F4F" w:rsidP="00FA0EEC">
            <w:pPr>
              <w:pStyle w:val="Corpotesto"/>
              <w:ind w:left="-70" w:right="-74"/>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37,00</w:t>
            </w:r>
          </w:p>
        </w:tc>
      </w:tr>
      <w:tr w:rsidR="00801F4F" w:rsidRPr="0055655F" w14:paraId="35D27D82" w14:textId="77777777" w:rsidTr="00FA0EEC">
        <w:trPr>
          <w:trHeight w:val="510"/>
          <w:jc w:val="center"/>
        </w:trPr>
        <w:tc>
          <w:tcPr>
            <w:tcW w:w="573" w:type="dxa"/>
            <w:noWrap/>
            <w:vAlign w:val="center"/>
            <w:hideMark/>
          </w:tcPr>
          <w:p w14:paraId="1B73D7ED" w14:textId="77777777" w:rsidR="00801F4F" w:rsidRPr="0055655F" w:rsidRDefault="00801F4F" w:rsidP="00FA0EEC">
            <w:pPr>
              <w:pStyle w:val="Corpotesto"/>
              <w:ind w:right="23"/>
              <w:jc w:val="center"/>
              <w:rPr>
                <w:rFonts w:asciiTheme="minorHAnsi" w:hAnsiTheme="minorHAnsi" w:cstheme="minorHAnsi"/>
                <w:spacing w:val="-1"/>
                <w:sz w:val="16"/>
                <w:szCs w:val="12"/>
              </w:rPr>
            </w:pPr>
            <w:r w:rsidRPr="0055655F">
              <w:rPr>
                <w:rFonts w:asciiTheme="minorHAnsi" w:hAnsiTheme="minorHAnsi" w:cstheme="minorHAnsi"/>
                <w:spacing w:val="-1"/>
                <w:sz w:val="16"/>
                <w:szCs w:val="12"/>
              </w:rPr>
              <w:t>D</w:t>
            </w:r>
          </w:p>
        </w:tc>
        <w:tc>
          <w:tcPr>
            <w:tcW w:w="4193" w:type="dxa"/>
            <w:hideMark/>
          </w:tcPr>
          <w:p w14:paraId="462F60A9" w14:textId="346EF307" w:rsidR="00801F4F" w:rsidRPr="0055655F" w:rsidRDefault="00801F4F" w:rsidP="00FA0EEC">
            <w:pPr>
              <w:pStyle w:val="Corpotesto"/>
              <w:ind w:left="21"/>
              <w:jc w:val="both"/>
              <w:rPr>
                <w:rFonts w:asciiTheme="minorHAnsi" w:hAnsiTheme="minorHAnsi" w:cstheme="minorHAnsi"/>
                <w:spacing w:val="-1"/>
                <w:sz w:val="12"/>
                <w:szCs w:val="12"/>
              </w:rPr>
            </w:pPr>
            <w:r w:rsidRPr="0055655F">
              <w:rPr>
                <w:rFonts w:asciiTheme="minorHAnsi" w:hAnsiTheme="minorHAnsi" w:cstheme="minorHAnsi"/>
                <w:spacing w:val="-1"/>
                <w:sz w:val="12"/>
                <w:szCs w:val="12"/>
              </w:rPr>
              <w:t>costo unitario (a persona) per aperitivo, da realizzare in orario pomeridiano (tartine salate, finger food, bevande varie tra cui succhi di frutta, acqua minerale e vini rossi e bianchi) (n. 2 camerieri)</w:t>
            </w:r>
          </w:p>
        </w:tc>
        <w:tc>
          <w:tcPr>
            <w:tcW w:w="840" w:type="dxa"/>
            <w:noWrap/>
            <w:vAlign w:val="center"/>
            <w:hideMark/>
          </w:tcPr>
          <w:p w14:paraId="229C0AC3" w14:textId="77777777" w:rsidR="00801F4F" w:rsidRPr="0055655F" w:rsidRDefault="00801F4F" w:rsidP="00FA0EEC">
            <w:pPr>
              <w:pStyle w:val="Corpotesto"/>
              <w:ind w:left="-67"/>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22,00</w:t>
            </w:r>
          </w:p>
        </w:tc>
        <w:tc>
          <w:tcPr>
            <w:tcW w:w="747" w:type="dxa"/>
            <w:noWrap/>
            <w:vAlign w:val="center"/>
            <w:hideMark/>
          </w:tcPr>
          <w:p w14:paraId="5755ACBC" w14:textId="77777777" w:rsidR="00801F4F" w:rsidRPr="0055655F" w:rsidRDefault="00801F4F" w:rsidP="00FA0EEC">
            <w:pPr>
              <w:pStyle w:val="Corpotesto"/>
              <w:ind w:left="-67"/>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23,22</w:t>
            </w:r>
          </w:p>
        </w:tc>
        <w:tc>
          <w:tcPr>
            <w:tcW w:w="747" w:type="dxa"/>
            <w:vAlign w:val="center"/>
          </w:tcPr>
          <w:p w14:paraId="0CD09698" w14:textId="77777777" w:rsidR="00801F4F" w:rsidRPr="0055655F" w:rsidRDefault="00801F4F" w:rsidP="00FA0EEC">
            <w:pPr>
              <w:pStyle w:val="Corpotesto"/>
              <w:ind w:left="-70" w:right="-74"/>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 xml:space="preserve">      22,61   </w:t>
            </w:r>
          </w:p>
        </w:tc>
        <w:tc>
          <w:tcPr>
            <w:tcW w:w="950" w:type="dxa"/>
            <w:vAlign w:val="center"/>
          </w:tcPr>
          <w:p w14:paraId="392E0715" w14:textId="77777777" w:rsidR="00801F4F" w:rsidRPr="0055655F" w:rsidRDefault="00801F4F" w:rsidP="00FA0EEC">
            <w:pPr>
              <w:pStyle w:val="Corpotesto"/>
              <w:ind w:left="-70" w:right="-74"/>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23,00</w:t>
            </w:r>
          </w:p>
        </w:tc>
      </w:tr>
      <w:tr w:rsidR="00801F4F" w:rsidRPr="0055655F" w14:paraId="7758B58D" w14:textId="77777777" w:rsidTr="00FA0EEC">
        <w:trPr>
          <w:trHeight w:val="20"/>
          <w:jc w:val="center"/>
        </w:trPr>
        <w:tc>
          <w:tcPr>
            <w:tcW w:w="573" w:type="dxa"/>
            <w:noWrap/>
            <w:vAlign w:val="center"/>
            <w:hideMark/>
          </w:tcPr>
          <w:p w14:paraId="6725A5A3" w14:textId="77777777" w:rsidR="00801F4F" w:rsidRPr="0055655F" w:rsidRDefault="00801F4F" w:rsidP="00FA0EEC">
            <w:pPr>
              <w:pStyle w:val="Corpotesto"/>
              <w:ind w:right="23"/>
              <w:jc w:val="center"/>
              <w:rPr>
                <w:rFonts w:asciiTheme="minorHAnsi" w:hAnsiTheme="minorHAnsi" w:cstheme="minorHAnsi"/>
                <w:spacing w:val="-1"/>
                <w:sz w:val="16"/>
                <w:szCs w:val="12"/>
              </w:rPr>
            </w:pPr>
            <w:r w:rsidRPr="0055655F">
              <w:rPr>
                <w:rFonts w:asciiTheme="minorHAnsi" w:hAnsiTheme="minorHAnsi" w:cstheme="minorHAnsi"/>
                <w:spacing w:val="-1"/>
                <w:sz w:val="16"/>
                <w:szCs w:val="12"/>
              </w:rPr>
              <w:t>E</w:t>
            </w:r>
          </w:p>
        </w:tc>
        <w:tc>
          <w:tcPr>
            <w:tcW w:w="4193" w:type="dxa"/>
            <w:hideMark/>
          </w:tcPr>
          <w:p w14:paraId="2A504E02" w14:textId="77777777" w:rsidR="00801F4F" w:rsidRPr="0055655F" w:rsidRDefault="00801F4F" w:rsidP="00FA0EEC">
            <w:pPr>
              <w:pStyle w:val="Corpotesto"/>
              <w:ind w:left="21"/>
              <w:jc w:val="both"/>
              <w:rPr>
                <w:rFonts w:asciiTheme="minorHAnsi" w:hAnsiTheme="minorHAnsi" w:cstheme="minorHAnsi"/>
                <w:spacing w:val="-1"/>
                <w:sz w:val="12"/>
                <w:szCs w:val="12"/>
              </w:rPr>
            </w:pPr>
            <w:r w:rsidRPr="0055655F">
              <w:rPr>
                <w:rFonts w:asciiTheme="minorHAnsi" w:hAnsiTheme="minorHAnsi" w:cstheme="minorHAnsi"/>
                <w:spacing w:val="-1"/>
                <w:sz w:val="12"/>
                <w:szCs w:val="12"/>
              </w:rPr>
              <w:t>servizio transfer, costo orario per il noleggio di un’autovettura, modello berlina, con autista (minimo 4+1 posti)</w:t>
            </w:r>
          </w:p>
        </w:tc>
        <w:tc>
          <w:tcPr>
            <w:tcW w:w="840" w:type="dxa"/>
            <w:noWrap/>
            <w:vAlign w:val="center"/>
            <w:hideMark/>
          </w:tcPr>
          <w:p w14:paraId="65CD7CDD" w14:textId="77777777" w:rsidR="00801F4F" w:rsidRPr="0055655F" w:rsidRDefault="00801F4F" w:rsidP="00FA0EEC">
            <w:pPr>
              <w:pStyle w:val="Corpotesto"/>
              <w:ind w:left="-67"/>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24,50</w:t>
            </w:r>
          </w:p>
        </w:tc>
        <w:tc>
          <w:tcPr>
            <w:tcW w:w="747" w:type="dxa"/>
            <w:vAlign w:val="center"/>
            <w:hideMark/>
          </w:tcPr>
          <w:p w14:paraId="173C17D5" w14:textId="77777777" w:rsidR="00801F4F" w:rsidRPr="0055655F" w:rsidRDefault="00801F4F" w:rsidP="00FA0EEC">
            <w:pPr>
              <w:pStyle w:val="Corpotesto"/>
              <w:ind w:left="-67"/>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26,55</w:t>
            </w:r>
          </w:p>
        </w:tc>
        <w:tc>
          <w:tcPr>
            <w:tcW w:w="747" w:type="dxa"/>
            <w:vAlign w:val="center"/>
          </w:tcPr>
          <w:p w14:paraId="776B0F48" w14:textId="77777777" w:rsidR="00801F4F" w:rsidRPr="0055655F" w:rsidRDefault="00801F4F" w:rsidP="00FA0EEC">
            <w:pPr>
              <w:pStyle w:val="Corpotesto"/>
              <w:ind w:left="-70" w:right="-74"/>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 xml:space="preserve">      25,53   </w:t>
            </w:r>
          </w:p>
        </w:tc>
        <w:tc>
          <w:tcPr>
            <w:tcW w:w="950" w:type="dxa"/>
            <w:vAlign w:val="center"/>
          </w:tcPr>
          <w:p w14:paraId="6136333E" w14:textId="77777777" w:rsidR="00801F4F" w:rsidRPr="0055655F" w:rsidRDefault="00801F4F" w:rsidP="00FA0EEC">
            <w:pPr>
              <w:pStyle w:val="Corpotesto"/>
              <w:ind w:left="-70" w:right="-74"/>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25,00</w:t>
            </w:r>
          </w:p>
        </w:tc>
      </w:tr>
      <w:tr w:rsidR="00801F4F" w:rsidRPr="0055655F" w14:paraId="05B85265" w14:textId="77777777" w:rsidTr="00FA0EEC">
        <w:trPr>
          <w:trHeight w:val="20"/>
          <w:jc w:val="center"/>
        </w:trPr>
        <w:tc>
          <w:tcPr>
            <w:tcW w:w="573" w:type="dxa"/>
            <w:noWrap/>
            <w:vAlign w:val="center"/>
            <w:hideMark/>
          </w:tcPr>
          <w:p w14:paraId="2139CEDF" w14:textId="77777777" w:rsidR="00801F4F" w:rsidRPr="0055655F" w:rsidRDefault="00801F4F" w:rsidP="00FA0EEC">
            <w:pPr>
              <w:pStyle w:val="Corpotesto"/>
              <w:ind w:right="23"/>
              <w:jc w:val="center"/>
              <w:rPr>
                <w:rFonts w:asciiTheme="minorHAnsi" w:hAnsiTheme="minorHAnsi" w:cstheme="minorHAnsi"/>
                <w:spacing w:val="-1"/>
                <w:sz w:val="16"/>
                <w:szCs w:val="12"/>
              </w:rPr>
            </w:pPr>
            <w:r w:rsidRPr="0055655F">
              <w:rPr>
                <w:rFonts w:asciiTheme="minorHAnsi" w:hAnsiTheme="minorHAnsi" w:cstheme="minorHAnsi"/>
                <w:spacing w:val="-1"/>
                <w:sz w:val="16"/>
                <w:szCs w:val="12"/>
              </w:rPr>
              <w:t>F</w:t>
            </w:r>
          </w:p>
        </w:tc>
        <w:tc>
          <w:tcPr>
            <w:tcW w:w="4193" w:type="dxa"/>
            <w:hideMark/>
          </w:tcPr>
          <w:p w14:paraId="41C2032C" w14:textId="77777777" w:rsidR="00801F4F" w:rsidRPr="0055655F" w:rsidRDefault="00801F4F" w:rsidP="00FA0EEC">
            <w:pPr>
              <w:pStyle w:val="Corpotesto"/>
              <w:ind w:left="21"/>
              <w:jc w:val="both"/>
              <w:rPr>
                <w:rFonts w:asciiTheme="minorHAnsi" w:hAnsiTheme="minorHAnsi" w:cstheme="minorHAnsi"/>
                <w:spacing w:val="-1"/>
                <w:sz w:val="12"/>
                <w:szCs w:val="12"/>
              </w:rPr>
            </w:pPr>
            <w:r w:rsidRPr="0055655F">
              <w:rPr>
                <w:rFonts w:asciiTheme="minorHAnsi" w:hAnsiTheme="minorHAnsi" w:cstheme="minorHAnsi"/>
                <w:spacing w:val="-1"/>
                <w:sz w:val="12"/>
                <w:szCs w:val="12"/>
              </w:rPr>
              <w:t>servizio riprese video e foto. Il concorrente è tenuto ad indicare il costo giornaliero (8 ore) per il servizio fotografico e di riprese video, con interviste ai protagonisti dell’evento</w:t>
            </w:r>
          </w:p>
        </w:tc>
        <w:tc>
          <w:tcPr>
            <w:tcW w:w="840" w:type="dxa"/>
            <w:noWrap/>
            <w:vAlign w:val="center"/>
            <w:hideMark/>
          </w:tcPr>
          <w:p w14:paraId="4B0097BC" w14:textId="77777777" w:rsidR="00801F4F" w:rsidRPr="0055655F" w:rsidRDefault="00801F4F" w:rsidP="00FA0EEC">
            <w:pPr>
              <w:pStyle w:val="Corpotesto"/>
              <w:ind w:left="-67"/>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381,38</w:t>
            </w:r>
          </w:p>
        </w:tc>
        <w:tc>
          <w:tcPr>
            <w:tcW w:w="747" w:type="dxa"/>
            <w:vAlign w:val="center"/>
            <w:hideMark/>
          </w:tcPr>
          <w:p w14:paraId="70C9DE96" w14:textId="77777777" w:rsidR="00801F4F" w:rsidRPr="0055655F" w:rsidRDefault="00801F4F" w:rsidP="00FA0EEC">
            <w:pPr>
              <w:pStyle w:val="Corpotesto"/>
              <w:ind w:left="-67"/>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398,33</w:t>
            </w:r>
          </w:p>
        </w:tc>
        <w:tc>
          <w:tcPr>
            <w:tcW w:w="747" w:type="dxa"/>
            <w:vAlign w:val="center"/>
          </w:tcPr>
          <w:p w14:paraId="0B6D11CA" w14:textId="77777777" w:rsidR="00801F4F" w:rsidRPr="0055655F" w:rsidRDefault="00801F4F" w:rsidP="00FA0EEC">
            <w:pPr>
              <w:pStyle w:val="Corpotesto"/>
              <w:ind w:left="-70" w:right="-74"/>
              <w:jc w:val="center"/>
              <w:rPr>
                <w:rFonts w:asciiTheme="minorHAnsi" w:hAnsiTheme="minorHAnsi" w:cstheme="minorHAnsi"/>
                <w:bCs/>
                <w:spacing w:val="-1"/>
                <w:sz w:val="16"/>
                <w:szCs w:val="12"/>
              </w:rPr>
            </w:pPr>
            <w:r w:rsidRPr="0055655F">
              <w:rPr>
                <w:rFonts w:asciiTheme="minorHAnsi" w:hAnsiTheme="minorHAnsi" w:cstheme="minorHAnsi"/>
                <w:bCs/>
                <w:spacing w:val="-1"/>
                <w:sz w:val="16"/>
                <w:szCs w:val="12"/>
              </w:rPr>
              <w:t xml:space="preserve">   389,86   </w:t>
            </w:r>
          </w:p>
        </w:tc>
        <w:tc>
          <w:tcPr>
            <w:tcW w:w="950" w:type="dxa"/>
            <w:vAlign w:val="center"/>
          </w:tcPr>
          <w:p w14:paraId="72501812" w14:textId="77777777" w:rsidR="00801F4F" w:rsidRPr="0055655F" w:rsidRDefault="00801F4F" w:rsidP="00FA0EEC">
            <w:pPr>
              <w:pStyle w:val="Corpotesto"/>
              <w:keepNext/>
              <w:ind w:left="-70" w:right="-74"/>
              <w:jc w:val="center"/>
              <w:rPr>
                <w:rFonts w:asciiTheme="minorHAnsi" w:hAnsiTheme="minorHAnsi" w:cstheme="minorHAnsi"/>
                <w:b/>
                <w:bCs/>
                <w:spacing w:val="-1"/>
                <w:sz w:val="16"/>
                <w:szCs w:val="12"/>
              </w:rPr>
            </w:pPr>
            <w:r w:rsidRPr="0055655F">
              <w:rPr>
                <w:rFonts w:asciiTheme="minorHAnsi" w:hAnsiTheme="minorHAnsi" w:cstheme="minorHAnsi"/>
                <w:b/>
                <w:bCs/>
                <w:spacing w:val="-1"/>
                <w:sz w:val="16"/>
                <w:szCs w:val="12"/>
              </w:rPr>
              <w:t>390,00</w:t>
            </w:r>
          </w:p>
        </w:tc>
      </w:tr>
    </w:tbl>
    <w:p w14:paraId="2487BDED" w14:textId="77777777" w:rsidR="00801F4F" w:rsidRDefault="00801F4F" w:rsidP="00801F4F">
      <w:pPr>
        <w:spacing w:after="240"/>
      </w:pPr>
    </w:p>
    <w:p w14:paraId="2572D705" w14:textId="77777777" w:rsidR="00303BE0" w:rsidRDefault="00303BE0" w:rsidP="00801F4F">
      <w:pPr>
        <w:spacing w:after="240"/>
      </w:pPr>
    </w:p>
    <w:p w14:paraId="08799355" w14:textId="77777777" w:rsidR="00303BE0" w:rsidRDefault="00303BE0" w:rsidP="00801F4F">
      <w:pPr>
        <w:spacing w:after="240"/>
      </w:pPr>
    </w:p>
    <w:p w14:paraId="54D1F354" w14:textId="67A448BF" w:rsidR="00801F4F" w:rsidRPr="0055655F" w:rsidRDefault="00801F4F" w:rsidP="00801F4F">
      <w:pPr>
        <w:spacing w:after="240"/>
      </w:pPr>
      <w:r w:rsidRPr="0055655F">
        <w:t>Pertanto, al netto dei costi sostenuti per le voci di spesa B, C, D ed E, che potrebbero non essere riconducibili nel perimetro di attività strettamente attinenti con la tipologia degli interventi previsti dall’Azione A1 dell’Avviso, si potrebbe definire una tabella dei costi standard, che prevede:</w:t>
      </w:r>
    </w:p>
    <w:tbl>
      <w:tblPr>
        <w:tblStyle w:val="Elencochiaro-Colore5"/>
        <w:tblW w:w="0" w:type="auto"/>
        <w:jc w:val="center"/>
        <w:tbl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tblBorders>
        <w:shd w:val="clear" w:color="auto" w:fill="9CC2E5" w:themeFill="accent5" w:themeFillTint="99"/>
        <w:tblLook w:val="04A0" w:firstRow="1" w:lastRow="0" w:firstColumn="1" w:lastColumn="0" w:noHBand="0" w:noVBand="1"/>
      </w:tblPr>
      <w:tblGrid>
        <w:gridCol w:w="727"/>
        <w:gridCol w:w="1093"/>
        <w:gridCol w:w="3631"/>
        <w:gridCol w:w="952"/>
        <w:gridCol w:w="1051"/>
        <w:gridCol w:w="842"/>
      </w:tblGrid>
      <w:tr w:rsidR="00320F68" w:rsidRPr="006801D9" w14:paraId="15E4788A" w14:textId="77777777" w:rsidTr="00FA0EEC">
        <w:trPr>
          <w:cnfStyle w:val="100000000000" w:firstRow="1" w:lastRow="0" w:firstColumn="0" w:lastColumn="0" w:oddVBand="0" w:evenVBand="0" w:oddHBand="0"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727" w:type="dxa"/>
            <w:tcBorders>
              <w:bottom w:val="nil"/>
            </w:tcBorders>
            <w:shd w:val="clear" w:color="auto" w:fill="2F5496" w:themeFill="accent1" w:themeFillShade="BF"/>
            <w:noWrap/>
            <w:vAlign w:val="center"/>
            <w:hideMark/>
          </w:tcPr>
          <w:p w14:paraId="1570C332" w14:textId="77777777" w:rsidR="00801F4F" w:rsidRPr="006801D9" w:rsidRDefault="00801F4F" w:rsidP="00FA0EEC">
            <w:pPr>
              <w:pStyle w:val="Corpotesto"/>
              <w:tabs>
                <w:tab w:val="left" w:pos="514"/>
              </w:tabs>
              <w:ind w:left="-49" w:right="-108"/>
              <w:jc w:val="center"/>
              <w:rPr>
                <w:rFonts w:ascii="Titillium Web" w:hAnsi="Titillium Web" w:cstheme="minorHAnsi"/>
                <w:bCs w:val="0"/>
                <w:spacing w:val="-1"/>
                <w:sz w:val="16"/>
                <w:szCs w:val="12"/>
              </w:rPr>
            </w:pPr>
            <w:r w:rsidRPr="006801D9">
              <w:rPr>
                <w:rFonts w:ascii="Titillium Web" w:hAnsi="Titillium Web" w:cstheme="minorHAnsi"/>
                <w:bCs w:val="0"/>
                <w:spacing w:val="-1"/>
                <w:sz w:val="16"/>
                <w:szCs w:val="12"/>
              </w:rPr>
              <w:t>Item</w:t>
            </w:r>
          </w:p>
        </w:tc>
        <w:tc>
          <w:tcPr>
            <w:tcW w:w="1043" w:type="dxa"/>
            <w:tcBorders>
              <w:bottom w:val="nil"/>
            </w:tcBorders>
            <w:shd w:val="clear" w:color="auto" w:fill="2F5496" w:themeFill="accent1" w:themeFillShade="BF"/>
            <w:vAlign w:val="center"/>
          </w:tcPr>
          <w:p w14:paraId="21FD1B4D" w14:textId="77777777" w:rsidR="00801F4F" w:rsidRPr="006801D9" w:rsidRDefault="00801F4F" w:rsidP="00FA0EEC">
            <w:pPr>
              <w:pStyle w:val="Corpotesto"/>
              <w:tabs>
                <w:tab w:val="left" w:pos="898"/>
              </w:tabs>
              <w:ind w:right="-108"/>
              <w:jc w:val="center"/>
              <w:cnfStyle w:val="100000000000" w:firstRow="1" w:lastRow="0" w:firstColumn="0" w:lastColumn="0" w:oddVBand="0" w:evenVBand="0" w:oddHBand="0" w:evenHBand="0" w:firstRowFirstColumn="0" w:firstRowLastColumn="0" w:lastRowFirstColumn="0" w:lastRowLastColumn="0"/>
              <w:rPr>
                <w:rFonts w:ascii="Titillium Web" w:hAnsi="Titillium Web" w:cstheme="minorHAnsi"/>
                <w:bCs w:val="0"/>
                <w:spacing w:val="-1"/>
                <w:sz w:val="16"/>
                <w:szCs w:val="12"/>
              </w:rPr>
            </w:pPr>
            <w:r w:rsidRPr="006801D9">
              <w:rPr>
                <w:rFonts w:ascii="Titillium Web" w:hAnsi="Titillium Web" w:cstheme="minorHAnsi"/>
                <w:bCs w:val="0"/>
                <w:spacing w:val="-1"/>
                <w:sz w:val="16"/>
                <w:szCs w:val="12"/>
              </w:rPr>
              <w:t>Correlazione attività Avviso</w:t>
            </w:r>
          </w:p>
        </w:tc>
        <w:tc>
          <w:tcPr>
            <w:tcW w:w="3631" w:type="dxa"/>
            <w:tcBorders>
              <w:bottom w:val="nil"/>
            </w:tcBorders>
            <w:shd w:val="clear" w:color="auto" w:fill="2F5496" w:themeFill="accent1" w:themeFillShade="BF"/>
            <w:noWrap/>
            <w:vAlign w:val="center"/>
            <w:hideMark/>
          </w:tcPr>
          <w:p w14:paraId="060D0D0D" w14:textId="77777777" w:rsidR="00801F4F" w:rsidRPr="006801D9" w:rsidRDefault="00801F4F" w:rsidP="00FA0EEC">
            <w:pPr>
              <w:pStyle w:val="Corpotesto"/>
              <w:tabs>
                <w:tab w:val="left" w:pos="898"/>
              </w:tabs>
              <w:ind w:right="-108"/>
              <w:jc w:val="center"/>
              <w:cnfStyle w:val="100000000000" w:firstRow="1" w:lastRow="0" w:firstColumn="0" w:lastColumn="0" w:oddVBand="0" w:evenVBand="0" w:oddHBand="0" w:evenHBand="0" w:firstRowFirstColumn="0" w:firstRowLastColumn="0" w:lastRowFirstColumn="0" w:lastRowLastColumn="0"/>
              <w:rPr>
                <w:rFonts w:ascii="Titillium Web" w:hAnsi="Titillium Web" w:cstheme="minorHAnsi"/>
                <w:bCs w:val="0"/>
                <w:spacing w:val="-1"/>
                <w:sz w:val="16"/>
                <w:szCs w:val="12"/>
              </w:rPr>
            </w:pPr>
            <w:r w:rsidRPr="006801D9">
              <w:rPr>
                <w:rFonts w:ascii="Titillium Web" w:hAnsi="Titillium Web" w:cstheme="minorHAnsi"/>
                <w:bCs w:val="0"/>
                <w:spacing w:val="-1"/>
                <w:sz w:val="16"/>
                <w:szCs w:val="12"/>
              </w:rPr>
              <w:t>Descrizione</w:t>
            </w:r>
          </w:p>
        </w:tc>
        <w:tc>
          <w:tcPr>
            <w:tcW w:w="952" w:type="dxa"/>
            <w:tcBorders>
              <w:bottom w:val="nil"/>
            </w:tcBorders>
            <w:shd w:val="clear" w:color="auto" w:fill="2F5496" w:themeFill="accent1" w:themeFillShade="BF"/>
            <w:vAlign w:val="center"/>
          </w:tcPr>
          <w:p w14:paraId="3DBA686A" w14:textId="77777777" w:rsidR="00801F4F" w:rsidRPr="006801D9" w:rsidRDefault="00801F4F" w:rsidP="00FA0EEC">
            <w:pPr>
              <w:pStyle w:val="Corpotesto"/>
              <w:tabs>
                <w:tab w:val="left" w:pos="898"/>
              </w:tabs>
              <w:ind w:right="-108"/>
              <w:jc w:val="center"/>
              <w:cnfStyle w:val="100000000000" w:firstRow="1" w:lastRow="0" w:firstColumn="0" w:lastColumn="0" w:oddVBand="0" w:evenVBand="0" w:oddHBand="0" w:evenHBand="0" w:firstRowFirstColumn="0" w:firstRowLastColumn="0" w:lastRowFirstColumn="0" w:lastRowLastColumn="0"/>
              <w:rPr>
                <w:rFonts w:ascii="Titillium Web" w:hAnsi="Titillium Web" w:cstheme="minorHAnsi"/>
                <w:bCs w:val="0"/>
                <w:spacing w:val="-1"/>
                <w:sz w:val="16"/>
                <w:szCs w:val="12"/>
              </w:rPr>
            </w:pPr>
            <w:r w:rsidRPr="006801D9">
              <w:rPr>
                <w:rFonts w:ascii="Titillium Web" w:hAnsi="Titillium Web" w:cstheme="minorHAnsi"/>
                <w:bCs w:val="0"/>
                <w:spacing w:val="-1"/>
                <w:sz w:val="16"/>
                <w:szCs w:val="12"/>
              </w:rPr>
              <w:t>Codifica</w:t>
            </w:r>
          </w:p>
        </w:tc>
        <w:tc>
          <w:tcPr>
            <w:tcW w:w="1048" w:type="dxa"/>
            <w:tcBorders>
              <w:bottom w:val="nil"/>
            </w:tcBorders>
            <w:shd w:val="clear" w:color="auto" w:fill="2F5496" w:themeFill="accent1" w:themeFillShade="BF"/>
            <w:vAlign w:val="center"/>
          </w:tcPr>
          <w:p w14:paraId="3344894B" w14:textId="77777777" w:rsidR="00801F4F" w:rsidRPr="006801D9" w:rsidRDefault="00801F4F" w:rsidP="00FA0EEC">
            <w:pPr>
              <w:pStyle w:val="Corpotesto"/>
              <w:tabs>
                <w:tab w:val="left" w:pos="361"/>
              </w:tabs>
              <w:ind w:left="-68" w:right="-74"/>
              <w:jc w:val="center"/>
              <w:cnfStyle w:val="100000000000" w:firstRow="1" w:lastRow="0" w:firstColumn="0" w:lastColumn="0" w:oddVBand="0" w:evenVBand="0" w:oddHBand="0" w:evenHBand="0" w:firstRowFirstColumn="0" w:firstRowLastColumn="0" w:lastRowFirstColumn="0" w:lastRowLastColumn="0"/>
              <w:rPr>
                <w:rFonts w:ascii="Titillium Web" w:hAnsi="Titillium Web" w:cstheme="minorHAnsi"/>
                <w:bCs w:val="0"/>
                <w:spacing w:val="-1"/>
                <w:sz w:val="16"/>
                <w:szCs w:val="12"/>
              </w:rPr>
            </w:pPr>
            <w:r w:rsidRPr="006801D9">
              <w:rPr>
                <w:rFonts w:ascii="Titillium Web" w:hAnsi="Titillium Web" w:cstheme="minorHAnsi"/>
                <w:bCs w:val="0"/>
                <w:spacing w:val="-1"/>
                <w:sz w:val="16"/>
                <w:szCs w:val="12"/>
              </w:rPr>
              <w:t>Unità di misura</w:t>
            </w:r>
          </w:p>
        </w:tc>
        <w:tc>
          <w:tcPr>
            <w:tcW w:w="842" w:type="dxa"/>
            <w:tcBorders>
              <w:bottom w:val="nil"/>
            </w:tcBorders>
            <w:shd w:val="clear" w:color="auto" w:fill="2F5496" w:themeFill="accent1" w:themeFillShade="BF"/>
            <w:vAlign w:val="center"/>
          </w:tcPr>
          <w:p w14:paraId="6753D377" w14:textId="77777777" w:rsidR="00801F4F" w:rsidRPr="006801D9" w:rsidRDefault="00801F4F" w:rsidP="00FA0EEC">
            <w:pPr>
              <w:pStyle w:val="Corpotesto"/>
              <w:tabs>
                <w:tab w:val="left" w:pos="361"/>
              </w:tabs>
              <w:ind w:left="-68" w:right="-74"/>
              <w:jc w:val="center"/>
              <w:cnfStyle w:val="100000000000" w:firstRow="1" w:lastRow="0" w:firstColumn="0" w:lastColumn="0" w:oddVBand="0" w:evenVBand="0" w:oddHBand="0" w:evenHBand="0" w:firstRowFirstColumn="0" w:firstRowLastColumn="0" w:lastRowFirstColumn="0" w:lastRowLastColumn="0"/>
              <w:rPr>
                <w:rFonts w:ascii="Titillium Web" w:hAnsi="Titillium Web" w:cstheme="minorHAnsi"/>
                <w:bCs w:val="0"/>
                <w:spacing w:val="-1"/>
                <w:sz w:val="16"/>
                <w:szCs w:val="12"/>
              </w:rPr>
            </w:pPr>
            <w:r w:rsidRPr="006801D9">
              <w:rPr>
                <w:rFonts w:ascii="Titillium Web" w:hAnsi="Titillium Web" w:cstheme="minorHAnsi"/>
                <w:bCs w:val="0"/>
                <w:spacing w:val="-1"/>
                <w:sz w:val="16"/>
                <w:szCs w:val="12"/>
              </w:rPr>
              <w:t>Valore</w:t>
            </w:r>
          </w:p>
        </w:tc>
      </w:tr>
      <w:tr w:rsidR="00320F68" w:rsidRPr="006801D9" w14:paraId="6E065AE0" w14:textId="77777777" w:rsidTr="00FA0EEC">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727" w:type="dxa"/>
            <w:tcBorders>
              <w:top w:val="nil"/>
              <w:bottom w:val="single" w:sz="8" w:space="0" w:color="833C0B" w:themeColor="accent2" w:themeShade="80"/>
            </w:tcBorders>
            <w:shd w:val="clear" w:color="auto" w:fill="FFFFFF" w:themeFill="background1"/>
            <w:noWrap/>
            <w:vAlign w:val="center"/>
            <w:hideMark/>
          </w:tcPr>
          <w:p w14:paraId="78F106B8" w14:textId="77777777" w:rsidR="00801F4F" w:rsidRPr="006801D9" w:rsidRDefault="00801F4F" w:rsidP="00FA0EEC">
            <w:pPr>
              <w:pStyle w:val="Corpotesto"/>
              <w:ind w:right="23"/>
              <w:jc w:val="center"/>
              <w:rPr>
                <w:rFonts w:ascii="Titillium Web" w:hAnsi="Titillium Web" w:cstheme="minorHAnsi"/>
                <w:b w:val="0"/>
                <w:spacing w:val="-1"/>
                <w:sz w:val="16"/>
                <w:szCs w:val="12"/>
              </w:rPr>
            </w:pPr>
            <w:r w:rsidRPr="006801D9">
              <w:rPr>
                <w:rFonts w:ascii="Titillium Web" w:hAnsi="Titillium Web" w:cstheme="minorHAnsi"/>
                <w:b w:val="0"/>
                <w:spacing w:val="-1"/>
                <w:sz w:val="16"/>
                <w:szCs w:val="12"/>
              </w:rPr>
              <w:t>A</w:t>
            </w:r>
          </w:p>
        </w:tc>
        <w:tc>
          <w:tcPr>
            <w:tcW w:w="1043" w:type="dxa"/>
            <w:tcBorders>
              <w:top w:val="nil"/>
              <w:bottom w:val="single" w:sz="8" w:space="0" w:color="833C0B" w:themeColor="accent2" w:themeShade="80"/>
            </w:tcBorders>
            <w:shd w:val="clear" w:color="auto" w:fill="FFFFFF" w:themeFill="background1"/>
            <w:vAlign w:val="center"/>
          </w:tcPr>
          <w:p w14:paraId="519BB0B6" w14:textId="77777777" w:rsidR="00801F4F" w:rsidRPr="006801D9" w:rsidRDefault="00801F4F" w:rsidP="00FA0EEC">
            <w:pPr>
              <w:pStyle w:val="Corpotesto"/>
              <w:ind w:left="-131" w:right="-108"/>
              <w:jc w:val="center"/>
              <w:cnfStyle w:val="000000100000" w:firstRow="0" w:lastRow="0" w:firstColumn="0" w:lastColumn="0" w:oddVBand="0" w:evenVBand="0" w:oddHBand="1" w:evenHBand="0" w:firstRowFirstColumn="0" w:firstRowLastColumn="0" w:lastRowFirstColumn="0" w:lastRowLastColumn="0"/>
              <w:rPr>
                <w:rFonts w:ascii="Titillium Web" w:hAnsi="Titillium Web" w:cstheme="minorHAnsi"/>
                <w:spacing w:val="-1"/>
                <w:sz w:val="16"/>
                <w:szCs w:val="12"/>
              </w:rPr>
            </w:pPr>
            <w:r w:rsidRPr="006801D9">
              <w:rPr>
                <w:rFonts w:ascii="Titillium Web" w:hAnsi="Titillium Web" w:cstheme="minorHAnsi"/>
                <w:spacing w:val="-1"/>
                <w:sz w:val="16"/>
                <w:szCs w:val="12"/>
              </w:rPr>
              <w:t>A1</w:t>
            </w:r>
          </w:p>
        </w:tc>
        <w:tc>
          <w:tcPr>
            <w:tcW w:w="3631" w:type="dxa"/>
            <w:tcBorders>
              <w:top w:val="nil"/>
              <w:bottom w:val="single" w:sz="8" w:space="0" w:color="833C0B" w:themeColor="accent2" w:themeShade="80"/>
            </w:tcBorders>
            <w:shd w:val="clear" w:color="auto" w:fill="FFFFFF" w:themeFill="background1"/>
            <w:vAlign w:val="center"/>
            <w:hideMark/>
          </w:tcPr>
          <w:p w14:paraId="5CD7174C" w14:textId="77777777" w:rsidR="00801F4F" w:rsidRPr="006801D9" w:rsidRDefault="00801F4F" w:rsidP="00FA0EEC">
            <w:pPr>
              <w:pStyle w:val="Corpotesto"/>
              <w:ind w:left="213" w:right="226"/>
              <w:jc w:val="both"/>
              <w:cnfStyle w:val="000000100000" w:firstRow="0" w:lastRow="0" w:firstColumn="0" w:lastColumn="0" w:oddVBand="0" w:evenVBand="0" w:oddHBand="1" w:evenHBand="0" w:firstRowFirstColumn="0" w:firstRowLastColumn="0" w:lastRowFirstColumn="0" w:lastRowLastColumn="0"/>
              <w:rPr>
                <w:rFonts w:ascii="Titillium Web" w:hAnsi="Titillium Web" w:cstheme="minorHAnsi"/>
                <w:spacing w:val="-1"/>
                <w:sz w:val="16"/>
                <w:szCs w:val="12"/>
              </w:rPr>
            </w:pPr>
            <w:r w:rsidRPr="006801D9">
              <w:rPr>
                <w:rFonts w:ascii="Titillium Web" w:hAnsi="Titillium Web" w:cstheme="minorHAnsi"/>
                <w:spacing w:val="-1"/>
                <w:sz w:val="16"/>
                <w:szCs w:val="12"/>
              </w:rPr>
              <w:t>Quotazione del costo onnicomprensivo al mq. per la fornitura dei servizi di progettazione, allestimento “chiavi in mano”, gestione e manutenzione dello spazio espositivo</w:t>
            </w:r>
          </w:p>
        </w:tc>
        <w:tc>
          <w:tcPr>
            <w:tcW w:w="952" w:type="dxa"/>
            <w:tcBorders>
              <w:top w:val="nil"/>
              <w:bottom w:val="single" w:sz="8" w:space="0" w:color="833C0B" w:themeColor="accent2" w:themeShade="80"/>
            </w:tcBorders>
            <w:shd w:val="clear" w:color="auto" w:fill="FFFFFF" w:themeFill="background1"/>
            <w:vAlign w:val="center"/>
          </w:tcPr>
          <w:p w14:paraId="42A5AF01" w14:textId="77777777" w:rsidR="00801F4F" w:rsidRPr="006801D9" w:rsidRDefault="00801F4F" w:rsidP="00FA0EEC">
            <w:pPr>
              <w:pStyle w:val="Corpotesto"/>
              <w:tabs>
                <w:tab w:val="left" w:pos="898"/>
              </w:tabs>
              <w:ind w:left="-94" w:right="-108"/>
              <w:jc w:val="center"/>
              <w:cnfStyle w:val="000000100000" w:firstRow="0" w:lastRow="0" w:firstColumn="0" w:lastColumn="0" w:oddVBand="0" w:evenVBand="0" w:oddHBand="1" w:evenHBand="0" w:firstRowFirstColumn="0" w:firstRowLastColumn="0" w:lastRowFirstColumn="0" w:lastRowLastColumn="0"/>
              <w:rPr>
                <w:rFonts w:ascii="Titillium Web" w:hAnsi="Titillium Web" w:cstheme="minorHAnsi"/>
                <w:b/>
                <w:bCs/>
                <w:spacing w:val="-1"/>
                <w:sz w:val="16"/>
                <w:szCs w:val="12"/>
              </w:rPr>
            </w:pPr>
            <w:r w:rsidRPr="006801D9">
              <w:rPr>
                <w:rFonts w:ascii="Titillium Web" w:hAnsi="Titillium Web" w:cstheme="minorHAnsi"/>
                <w:b/>
                <w:bCs/>
                <w:spacing w:val="-1"/>
                <w:sz w:val="16"/>
                <w:szCs w:val="12"/>
              </w:rPr>
              <w:t>Allestimenti</w:t>
            </w:r>
          </w:p>
        </w:tc>
        <w:tc>
          <w:tcPr>
            <w:tcW w:w="1048" w:type="dxa"/>
            <w:tcBorders>
              <w:top w:val="nil"/>
              <w:bottom w:val="single" w:sz="8" w:space="0" w:color="833C0B" w:themeColor="accent2" w:themeShade="80"/>
            </w:tcBorders>
            <w:shd w:val="clear" w:color="auto" w:fill="FFFFFF" w:themeFill="background1"/>
            <w:vAlign w:val="center"/>
          </w:tcPr>
          <w:p w14:paraId="69377E85" w14:textId="77777777" w:rsidR="00801F4F" w:rsidRPr="006801D9" w:rsidRDefault="00801F4F" w:rsidP="00FA0EEC">
            <w:pPr>
              <w:pStyle w:val="Corpotesto"/>
              <w:ind w:left="-70" w:right="-74"/>
              <w:jc w:val="center"/>
              <w:cnfStyle w:val="000000100000" w:firstRow="0" w:lastRow="0" w:firstColumn="0" w:lastColumn="0" w:oddVBand="0" w:evenVBand="0" w:oddHBand="1" w:evenHBand="0" w:firstRowFirstColumn="0" w:firstRowLastColumn="0" w:lastRowFirstColumn="0" w:lastRowLastColumn="0"/>
              <w:rPr>
                <w:rFonts w:ascii="Titillium Web" w:hAnsi="Titillium Web" w:cstheme="minorHAnsi"/>
                <w:b/>
                <w:bCs/>
                <w:spacing w:val="-1"/>
                <w:sz w:val="16"/>
                <w:szCs w:val="12"/>
              </w:rPr>
            </w:pPr>
            <w:r w:rsidRPr="006801D9">
              <w:rPr>
                <w:rFonts w:ascii="Titillium Web" w:hAnsi="Titillium Web" w:cstheme="minorHAnsi"/>
                <w:b/>
                <w:bCs/>
                <w:spacing w:val="-1"/>
                <w:sz w:val="16"/>
                <w:szCs w:val="12"/>
              </w:rPr>
              <w:t>mq</w:t>
            </w:r>
          </w:p>
        </w:tc>
        <w:tc>
          <w:tcPr>
            <w:tcW w:w="842" w:type="dxa"/>
            <w:tcBorders>
              <w:top w:val="nil"/>
              <w:bottom w:val="single" w:sz="8" w:space="0" w:color="833C0B" w:themeColor="accent2" w:themeShade="80"/>
            </w:tcBorders>
            <w:shd w:val="clear" w:color="auto" w:fill="FFFFFF" w:themeFill="background1"/>
            <w:vAlign w:val="center"/>
          </w:tcPr>
          <w:p w14:paraId="10FDA742" w14:textId="77777777" w:rsidR="00801F4F" w:rsidRPr="006801D9" w:rsidRDefault="00801F4F" w:rsidP="00FA0EEC">
            <w:pPr>
              <w:pStyle w:val="Corpotesto"/>
              <w:ind w:left="-70" w:right="-74"/>
              <w:jc w:val="center"/>
              <w:cnfStyle w:val="000000100000" w:firstRow="0" w:lastRow="0" w:firstColumn="0" w:lastColumn="0" w:oddVBand="0" w:evenVBand="0" w:oddHBand="1" w:evenHBand="0" w:firstRowFirstColumn="0" w:firstRowLastColumn="0" w:lastRowFirstColumn="0" w:lastRowLastColumn="0"/>
              <w:rPr>
                <w:rFonts w:ascii="Titillium Web" w:hAnsi="Titillium Web" w:cstheme="minorHAnsi"/>
                <w:b/>
                <w:bCs/>
                <w:spacing w:val="-1"/>
                <w:sz w:val="16"/>
                <w:szCs w:val="12"/>
              </w:rPr>
            </w:pPr>
            <w:r w:rsidRPr="006801D9">
              <w:rPr>
                <w:rFonts w:ascii="Titillium Web" w:hAnsi="Titillium Web" w:cstheme="minorHAnsi"/>
                <w:b/>
                <w:bCs/>
                <w:spacing w:val="-1"/>
                <w:sz w:val="16"/>
                <w:szCs w:val="12"/>
              </w:rPr>
              <w:t>720,00</w:t>
            </w:r>
          </w:p>
        </w:tc>
      </w:tr>
      <w:tr w:rsidR="00801F4F" w:rsidRPr="006801D9" w14:paraId="32EBA1DB" w14:textId="77777777" w:rsidTr="00FA0EEC">
        <w:trPr>
          <w:trHeight w:val="463"/>
          <w:jc w:val="center"/>
        </w:trPr>
        <w:tc>
          <w:tcPr>
            <w:cnfStyle w:val="001000000000" w:firstRow="0" w:lastRow="0" w:firstColumn="1" w:lastColumn="0" w:oddVBand="0" w:evenVBand="0" w:oddHBand="0" w:evenHBand="0" w:firstRowFirstColumn="0" w:firstRowLastColumn="0" w:lastRowFirstColumn="0" w:lastRowLastColumn="0"/>
            <w:tcW w:w="727" w:type="dxa"/>
            <w:tcBorders>
              <w:top w:val="single" w:sz="8" w:space="0" w:color="833C0B" w:themeColor="accent2" w:themeShade="80"/>
              <w:left w:val="single" w:sz="8" w:space="0" w:color="833C0B" w:themeColor="accent2" w:themeShade="80"/>
              <w:bottom w:val="single" w:sz="8" w:space="0" w:color="833C0B" w:themeColor="accent2" w:themeShade="80"/>
              <w:right w:val="nil"/>
            </w:tcBorders>
            <w:shd w:val="clear" w:color="auto" w:fill="FFFFFF" w:themeFill="background1"/>
            <w:noWrap/>
            <w:vAlign w:val="center"/>
            <w:hideMark/>
          </w:tcPr>
          <w:p w14:paraId="04D943A8" w14:textId="77777777" w:rsidR="00801F4F" w:rsidRPr="006801D9" w:rsidRDefault="00801F4F" w:rsidP="00FA0EEC">
            <w:pPr>
              <w:pStyle w:val="Corpotesto"/>
              <w:ind w:right="23"/>
              <w:jc w:val="center"/>
              <w:rPr>
                <w:rFonts w:ascii="Titillium Web" w:hAnsi="Titillium Web" w:cstheme="minorHAnsi"/>
                <w:b w:val="0"/>
                <w:spacing w:val="-1"/>
                <w:sz w:val="16"/>
                <w:szCs w:val="12"/>
              </w:rPr>
            </w:pPr>
            <w:r w:rsidRPr="006801D9">
              <w:rPr>
                <w:rFonts w:ascii="Titillium Web" w:hAnsi="Titillium Web" w:cstheme="minorHAnsi"/>
                <w:b w:val="0"/>
                <w:spacing w:val="-1"/>
                <w:sz w:val="16"/>
                <w:szCs w:val="12"/>
              </w:rPr>
              <w:t>F</w:t>
            </w:r>
          </w:p>
        </w:tc>
        <w:tc>
          <w:tcPr>
            <w:tcW w:w="1043" w:type="dxa"/>
            <w:tcBorders>
              <w:top w:val="single" w:sz="8" w:space="0" w:color="833C0B" w:themeColor="accent2" w:themeShade="80"/>
              <w:left w:val="nil"/>
              <w:bottom w:val="single" w:sz="8" w:space="0" w:color="833C0B" w:themeColor="accent2" w:themeShade="80"/>
              <w:right w:val="nil"/>
            </w:tcBorders>
            <w:shd w:val="clear" w:color="auto" w:fill="FFFFFF" w:themeFill="background1"/>
            <w:vAlign w:val="center"/>
          </w:tcPr>
          <w:p w14:paraId="1E05364F" w14:textId="77777777" w:rsidR="00801F4F" w:rsidRPr="006801D9" w:rsidRDefault="00801F4F" w:rsidP="00FA0EEC">
            <w:pPr>
              <w:pStyle w:val="Corpotesto"/>
              <w:ind w:left="-131" w:right="-108"/>
              <w:jc w:val="center"/>
              <w:cnfStyle w:val="000000000000" w:firstRow="0" w:lastRow="0" w:firstColumn="0" w:lastColumn="0" w:oddVBand="0" w:evenVBand="0" w:oddHBand="0" w:evenHBand="0" w:firstRowFirstColumn="0" w:firstRowLastColumn="0" w:lastRowFirstColumn="0" w:lastRowLastColumn="0"/>
              <w:rPr>
                <w:rFonts w:ascii="Titillium Web" w:hAnsi="Titillium Web" w:cstheme="minorHAnsi"/>
                <w:spacing w:val="-1"/>
                <w:sz w:val="16"/>
                <w:szCs w:val="12"/>
              </w:rPr>
            </w:pPr>
            <w:r w:rsidRPr="006801D9">
              <w:rPr>
                <w:rFonts w:ascii="Titillium Web" w:hAnsi="Titillium Web" w:cstheme="minorHAnsi"/>
                <w:spacing w:val="-1"/>
                <w:sz w:val="16"/>
                <w:szCs w:val="12"/>
              </w:rPr>
              <w:t>B</w:t>
            </w:r>
          </w:p>
        </w:tc>
        <w:tc>
          <w:tcPr>
            <w:tcW w:w="3631" w:type="dxa"/>
            <w:tcBorders>
              <w:top w:val="single" w:sz="8" w:space="0" w:color="833C0B" w:themeColor="accent2" w:themeShade="80"/>
              <w:left w:val="nil"/>
              <w:bottom w:val="single" w:sz="8" w:space="0" w:color="833C0B" w:themeColor="accent2" w:themeShade="80"/>
              <w:right w:val="nil"/>
            </w:tcBorders>
            <w:shd w:val="clear" w:color="auto" w:fill="FFFFFF" w:themeFill="background1"/>
            <w:vAlign w:val="center"/>
            <w:hideMark/>
          </w:tcPr>
          <w:p w14:paraId="490149F8" w14:textId="77777777" w:rsidR="00801F4F" w:rsidRPr="006801D9" w:rsidRDefault="00801F4F" w:rsidP="00FA0EEC">
            <w:pPr>
              <w:pStyle w:val="Corpotesto"/>
              <w:ind w:left="213" w:right="226"/>
              <w:jc w:val="both"/>
              <w:cnfStyle w:val="000000000000" w:firstRow="0" w:lastRow="0" w:firstColumn="0" w:lastColumn="0" w:oddVBand="0" w:evenVBand="0" w:oddHBand="0" w:evenHBand="0" w:firstRowFirstColumn="0" w:firstRowLastColumn="0" w:lastRowFirstColumn="0" w:lastRowLastColumn="0"/>
              <w:rPr>
                <w:rFonts w:ascii="Titillium Web" w:hAnsi="Titillium Web" w:cstheme="minorHAnsi"/>
                <w:spacing w:val="-1"/>
                <w:sz w:val="16"/>
                <w:szCs w:val="12"/>
              </w:rPr>
            </w:pPr>
            <w:r w:rsidRPr="006801D9">
              <w:rPr>
                <w:rFonts w:ascii="Titillium Web" w:hAnsi="Titillium Web" w:cstheme="minorHAnsi"/>
                <w:spacing w:val="-1"/>
                <w:sz w:val="16"/>
                <w:szCs w:val="12"/>
              </w:rPr>
              <w:t>Servizio riprese video e foto. Il concorrente è tenuto ad indicare il costo giornaliero (8 ore) per il servizio fotografico e di riprese video, con interviste ai protagonisti dell’evento</w:t>
            </w:r>
          </w:p>
        </w:tc>
        <w:tc>
          <w:tcPr>
            <w:tcW w:w="952" w:type="dxa"/>
            <w:tcBorders>
              <w:top w:val="single" w:sz="8" w:space="0" w:color="833C0B" w:themeColor="accent2" w:themeShade="80"/>
              <w:left w:val="nil"/>
              <w:bottom w:val="single" w:sz="8" w:space="0" w:color="833C0B" w:themeColor="accent2" w:themeShade="80"/>
              <w:right w:val="nil"/>
            </w:tcBorders>
            <w:shd w:val="clear" w:color="auto" w:fill="FFFFFF" w:themeFill="background1"/>
            <w:vAlign w:val="center"/>
          </w:tcPr>
          <w:p w14:paraId="517F7DB1" w14:textId="77777777" w:rsidR="00801F4F" w:rsidRPr="006801D9" w:rsidRDefault="00801F4F" w:rsidP="00FA0EEC">
            <w:pPr>
              <w:pStyle w:val="Corpotesto"/>
              <w:tabs>
                <w:tab w:val="left" w:pos="898"/>
              </w:tabs>
              <w:ind w:left="-94" w:right="-108"/>
              <w:jc w:val="center"/>
              <w:cnfStyle w:val="000000000000" w:firstRow="0" w:lastRow="0" w:firstColumn="0" w:lastColumn="0" w:oddVBand="0" w:evenVBand="0" w:oddHBand="0" w:evenHBand="0" w:firstRowFirstColumn="0" w:firstRowLastColumn="0" w:lastRowFirstColumn="0" w:lastRowLastColumn="0"/>
              <w:rPr>
                <w:rFonts w:ascii="Titillium Web" w:hAnsi="Titillium Web" w:cstheme="minorHAnsi"/>
                <w:b/>
                <w:bCs/>
                <w:spacing w:val="-1"/>
                <w:sz w:val="16"/>
                <w:szCs w:val="12"/>
              </w:rPr>
            </w:pPr>
            <w:r w:rsidRPr="006801D9">
              <w:rPr>
                <w:rFonts w:ascii="Titillium Web" w:hAnsi="Titillium Web" w:cstheme="minorHAnsi"/>
                <w:b/>
                <w:bCs/>
                <w:spacing w:val="-1"/>
                <w:sz w:val="16"/>
                <w:szCs w:val="12"/>
              </w:rPr>
              <w:t>Marketing</w:t>
            </w:r>
          </w:p>
        </w:tc>
        <w:tc>
          <w:tcPr>
            <w:tcW w:w="1048" w:type="dxa"/>
            <w:tcBorders>
              <w:top w:val="single" w:sz="8" w:space="0" w:color="833C0B" w:themeColor="accent2" w:themeShade="80"/>
              <w:left w:val="nil"/>
              <w:bottom w:val="single" w:sz="8" w:space="0" w:color="833C0B" w:themeColor="accent2" w:themeShade="80"/>
              <w:right w:val="nil"/>
            </w:tcBorders>
            <w:shd w:val="clear" w:color="auto" w:fill="FFFFFF" w:themeFill="background1"/>
            <w:vAlign w:val="center"/>
          </w:tcPr>
          <w:p w14:paraId="2305DDE6" w14:textId="77777777" w:rsidR="00801F4F" w:rsidRPr="006801D9" w:rsidRDefault="00801F4F" w:rsidP="00FA0EEC">
            <w:pPr>
              <w:pStyle w:val="Corpotesto"/>
              <w:ind w:left="-70" w:right="-74"/>
              <w:jc w:val="center"/>
              <w:cnfStyle w:val="000000000000" w:firstRow="0" w:lastRow="0" w:firstColumn="0" w:lastColumn="0" w:oddVBand="0" w:evenVBand="0" w:oddHBand="0" w:evenHBand="0" w:firstRowFirstColumn="0" w:firstRowLastColumn="0" w:lastRowFirstColumn="0" w:lastRowLastColumn="0"/>
              <w:rPr>
                <w:rFonts w:ascii="Titillium Web" w:hAnsi="Titillium Web" w:cstheme="minorHAnsi"/>
                <w:b/>
                <w:bCs/>
                <w:spacing w:val="-1"/>
                <w:sz w:val="16"/>
                <w:szCs w:val="12"/>
              </w:rPr>
            </w:pPr>
            <w:r w:rsidRPr="006801D9">
              <w:rPr>
                <w:rFonts w:ascii="Titillium Web" w:hAnsi="Titillium Web" w:cstheme="minorHAnsi"/>
                <w:b/>
                <w:bCs/>
                <w:spacing w:val="-1"/>
                <w:sz w:val="16"/>
                <w:szCs w:val="12"/>
              </w:rPr>
              <w:t>Giorno/uomo</w:t>
            </w:r>
          </w:p>
        </w:tc>
        <w:tc>
          <w:tcPr>
            <w:tcW w:w="842" w:type="dxa"/>
            <w:tcBorders>
              <w:top w:val="single" w:sz="8" w:space="0" w:color="833C0B" w:themeColor="accent2" w:themeShade="80"/>
              <w:left w:val="nil"/>
              <w:bottom w:val="single" w:sz="8" w:space="0" w:color="833C0B" w:themeColor="accent2" w:themeShade="80"/>
              <w:right w:val="single" w:sz="8" w:space="0" w:color="833C0B" w:themeColor="accent2" w:themeShade="80"/>
            </w:tcBorders>
            <w:shd w:val="clear" w:color="auto" w:fill="FFFFFF" w:themeFill="background1"/>
            <w:vAlign w:val="center"/>
          </w:tcPr>
          <w:p w14:paraId="331E77EE" w14:textId="77777777" w:rsidR="00801F4F" w:rsidRPr="006801D9" w:rsidRDefault="00801F4F" w:rsidP="00FA0EEC">
            <w:pPr>
              <w:pStyle w:val="Corpotesto"/>
              <w:keepNext/>
              <w:ind w:left="-70" w:right="-74"/>
              <w:jc w:val="center"/>
              <w:cnfStyle w:val="000000000000" w:firstRow="0" w:lastRow="0" w:firstColumn="0" w:lastColumn="0" w:oddVBand="0" w:evenVBand="0" w:oddHBand="0" w:evenHBand="0" w:firstRowFirstColumn="0" w:firstRowLastColumn="0" w:lastRowFirstColumn="0" w:lastRowLastColumn="0"/>
              <w:rPr>
                <w:rFonts w:ascii="Titillium Web" w:hAnsi="Titillium Web" w:cstheme="minorHAnsi"/>
                <w:b/>
                <w:bCs/>
                <w:spacing w:val="-1"/>
                <w:sz w:val="16"/>
                <w:szCs w:val="12"/>
              </w:rPr>
            </w:pPr>
            <w:r w:rsidRPr="006801D9">
              <w:rPr>
                <w:rFonts w:ascii="Titillium Web" w:hAnsi="Titillium Web" w:cstheme="minorHAnsi"/>
                <w:b/>
                <w:bCs/>
                <w:spacing w:val="-1"/>
                <w:sz w:val="16"/>
                <w:szCs w:val="12"/>
              </w:rPr>
              <w:t>390,00</w:t>
            </w:r>
          </w:p>
        </w:tc>
      </w:tr>
    </w:tbl>
    <w:p w14:paraId="0DF8618A" w14:textId="77777777" w:rsidR="00801F4F" w:rsidRDefault="00801F4F" w:rsidP="00801F4F"/>
    <w:p w14:paraId="4E840A4D" w14:textId="31C0CAC5" w:rsidR="00801F4F" w:rsidRPr="0055655F" w:rsidRDefault="00801F4F" w:rsidP="00801F4F">
      <w:r w:rsidRPr="0055655F">
        <w:t>Secondo quanto proposto nella tabella le imprese istanti dovrebbero indicare, ai fini della quantificazione del finanziamento concedibile per le attività A1 e B dell’Avviso, ovvero per “</w:t>
      </w:r>
      <w:r w:rsidRPr="0055655F">
        <w:rPr>
          <w:i/>
        </w:rPr>
        <w:t>la partecipazione a fiere commerciali di carattere internazionale in Italia o all’estero</w:t>
      </w:r>
      <w:r w:rsidRPr="0055655F">
        <w:t>” e per “</w:t>
      </w:r>
      <w:r w:rsidRPr="0055655F">
        <w:rPr>
          <w:i/>
        </w:rPr>
        <w:t>l’acquisto di servizi audio e video per campagne pubblicitarie e/o di marketing</w:t>
      </w:r>
      <w:r w:rsidRPr="0055655F">
        <w:t xml:space="preserve">” il solo valore dei metri quadrati richiesti all’ente fiera (A1) ed, eventualmente, il numero dei giorni di partecipazione con </w:t>
      </w:r>
      <w:r w:rsidRPr="00D77962">
        <w:t>l’indicazione dell’eventuale servizio di</w:t>
      </w:r>
      <w:r w:rsidRPr="0055655F">
        <w:t xml:space="preserve"> riprese video e foto acquisito (B).</w:t>
      </w:r>
    </w:p>
    <w:p w14:paraId="3A8C006B" w14:textId="77777777" w:rsidR="00801F4F" w:rsidRPr="0055655F" w:rsidRDefault="00801F4F" w:rsidP="00801F4F">
      <w:r w:rsidRPr="0055655F">
        <w:t>Ai costi diretti così definiti potrebbero essere sommati i “</w:t>
      </w:r>
      <w:r w:rsidRPr="0055655F">
        <w:rPr>
          <w:i/>
        </w:rPr>
        <w:t>costi diretti per il personale</w:t>
      </w:r>
      <w:r w:rsidRPr="0055655F">
        <w:t xml:space="preserve">” di un’operazione calcolando un tasso forfettario del 20% dei costi diretti ammissibili diversi dai costi di personale (ex art. 68 </w:t>
      </w:r>
      <w:r w:rsidRPr="0055655F">
        <w:rPr>
          <w:i/>
        </w:rPr>
        <w:t>bis</w:t>
      </w:r>
      <w:r w:rsidRPr="0055655F">
        <w:t xml:space="preserve"> par. 1 del Reg. (UE) n. 1303/2013) senza la necessità di dimostrare il calcolo che determini la percentuale applicata. </w:t>
      </w:r>
    </w:p>
    <w:p w14:paraId="27F8D78C" w14:textId="77777777" w:rsidR="00801F4F" w:rsidRPr="0055655F" w:rsidRDefault="00801F4F" w:rsidP="00801F4F">
      <w:r w:rsidRPr="0055655F">
        <w:t>Con riferimento al totale generale del costo di un’operazione, andrebbe valutata l’applicazione di ulteriori coefficienti, volti a valorizzare:</w:t>
      </w:r>
    </w:p>
    <w:p w14:paraId="1071E510" w14:textId="77777777" w:rsidR="00801F4F" w:rsidRPr="0055655F" w:rsidRDefault="00801F4F">
      <w:pPr>
        <w:pStyle w:val="Paragrafoelenco"/>
        <w:numPr>
          <w:ilvl w:val="0"/>
          <w:numId w:val="27"/>
        </w:numPr>
        <w:spacing w:before="60" w:after="120" w:line="276" w:lineRule="auto"/>
        <w:ind w:left="714" w:hanging="357"/>
        <w:contextualSpacing w:val="0"/>
      </w:pPr>
      <w:r w:rsidRPr="0055655F">
        <w:t>l’attinenza tematica dell’intervento alle priorità espresse dalle policy regionali (es. aerospazio, meccatronica, farmaceutica, etc.), per il quale si propone un bonus del + 3% calcolato sul totale dei costi;</w:t>
      </w:r>
    </w:p>
    <w:p w14:paraId="7C6D4A0F" w14:textId="77777777" w:rsidR="00801F4F" w:rsidRPr="0055655F" w:rsidRDefault="00801F4F">
      <w:pPr>
        <w:pStyle w:val="Paragrafoelenco"/>
        <w:numPr>
          <w:ilvl w:val="0"/>
          <w:numId w:val="27"/>
        </w:numPr>
        <w:spacing w:before="60" w:after="240" w:line="276" w:lineRule="auto"/>
        <w:ind w:left="714" w:hanging="357"/>
        <w:contextualSpacing w:val="0"/>
      </w:pPr>
      <w:r w:rsidRPr="0055655F">
        <w:t>i mercati target dell’intervento (consolidati, ad alto potenziale, di prossimità e in via di sviluppo), per il quale si propone, per i soli mercati ad alto potenziale, di considerare un bonus del + 3% calcolato sul totale dei costi (al netto di altri aumenti)</w:t>
      </w:r>
      <w:r>
        <w:t>.</w:t>
      </w:r>
    </w:p>
    <w:p w14:paraId="07BF2AF2" w14:textId="77777777" w:rsidR="00801F4F" w:rsidRPr="00801F4F" w:rsidRDefault="00801F4F" w:rsidP="00801F4F">
      <w:pPr>
        <w:rPr>
          <w:i/>
          <w:iCs/>
        </w:rPr>
      </w:pPr>
      <w:r w:rsidRPr="00801F4F">
        <w:rPr>
          <w:i/>
          <w:iCs/>
        </w:rPr>
        <w:t>Esempio di calcolo n. 1, sulla base di valori dei costi standard (€ 720,00/mq per allestimento e € 390,00/giornata-uomo per marketing), rispetto ad un intervento che prevede la partecipazione ad una fiera internazionale con un contratto sottoscritto di 50 mq ed un contratto di fornitura di servizi di marketing da parte di un professionista per n. 2 giorni senza l’applicazione di bonus.</w:t>
      </w:r>
    </w:p>
    <w:tbl>
      <w:tblPr>
        <w:tblW w:w="7462" w:type="dxa"/>
        <w:jc w:val="center"/>
        <w:tbl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tblBorders>
        <w:shd w:val="clear" w:color="auto" w:fill="2E74B5" w:themeFill="accent5" w:themeFillShade="BF"/>
        <w:tblCellMar>
          <w:left w:w="70" w:type="dxa"/>
          <w:right w:w="70" w:type="dxa"/>
        </w:tblCellMar>
        <w:tblLook w:val="04A0" w:firstRow="1" w:lastRow="0" w:firstColumn="1" w:lastColumn="0" w:noHBand="0" w:noVBand="1"/>
      </w:tblPr>
      <w:tblGrid>
        <w:gridCol w:w="1160"/>
        <w:gridCol w:w="960"/>
        <w:gridCol w:w="1102"/>
        <w:gridCol w:w="960"/>
        <w:gridCol w:w="960"/>
        <w:gridCol w:w="1120"/>
        <w:gridCol w:w="1200"/>
      </w:tblGrid>
      <w:tr w:rsidR="00801F4F" w:rsidRPr="001F5BF6" w14:paraId="15C1D24F" w14:textId="77777777" w:rsidTr="00FA0EEC">
        <w:trPr>
          <w:trHeight w:val="504"/>
          <w:jc w:val="center"/>
        </w:trPr>
        <w:tc>
          <w:tcPr>
            <w:tcW w:w="1160" w:type="dxa"/>
            <w:tcBorders>
              <w:bottom w:val="single" w:sz="8" w:space="0" w:color="525252" w:themeColor="accent3" w:themeShade="80"/>
            </w:tcBorders>
            <w:shd w:val="clear" w:color="auto" w:fill="2F5496" w:themeFill="accent1" w:themeFillShade="BF"/>
            <w:noWrap/>
            <w:vAlign w:val="center"/>
            <w:hideMark/>
          </w:tcPr>
          <w:p w14:paraId="4BDF4561"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Tipologia costi</w:t>
            </w:r>
          </w:p>
        </w:tc>
        <w:tc>
          <w:tcPr>
            <w:tcW w:w="960" w:type="dxa"/>
            <w:tcBorders>
              <w:bottom w:val="single" w:sz="8" w:space="0" w:color="525252" w:themeColor="accent3" w:themeShade="80"/>
            </w:tcBorders>
            <w:shd w:val="clear" w:color="auto" w:fill="2F5496" w:themeFill="accent1" w:themeFillShade="BF"/>
            <w:vAlign w:val="center"/>
            <w:hideMark/>
          </w:tcPr>
          <w:p w14:paraId="4F756E4F"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Attività Avviso</w:t>
            </w:r>
          </w:p>
        </w:tc>
        <w:tc>
          <w:tcPr>
            <w:tcW w:w="1102" w:type="dxa"/>
            <w:tcBorders>
              <w:bottom w:val="single" w:sz="8" w:space="0" w:color="525252" w:themeColor="accent3" w:themeShade="80"/>
            </w:tcBorders>
            <w:shd w:val="clear" w:color="auto" w:fill="2F5496" w:themeFill="accent1" w:themeFillShade="BF"/>
            <w:noWrap/>
            <w:vAlign w:val="center"/>
            <w:hideMark/>
          </w:tcPr>
          <w:p w14:paraId="67159EE5"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Tipologia attività</w:t>
            </w:r>
          </w:p>
        </w:tc>
        <w:tc>
          <w:tcPr>
            <w:tcW w:w="960" w:type="dxa"/>
            <w:tcBorders>
              <w:bottom w:val="single" w:sz="8" w:space="0" w:color="525252" w:themeColor="accent3" w:themeShade="80"/>
            </w:tcBorders>
            <w:shd w:val="clear" w:color="auto" w:fill="2F5496" w:themeFill="accent1" w:themeFillShade="BF"/>
            <w:noWrap/>
            <w:vAlign w:val="center"/>
            <w:hideMark/>
          </w:tcPr>
          <w:p w14:paraId="437D9AFF"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Costo/mq</w:t>
            </w:r>
          </w:p>
        </w:tc>
        <w:tc>
          <w:tcPr>
            <w:tcW w:w="960" w:type="dxa"/>
            <w:tcBorders>
              <w:bottom w:val="single" w:sz="8" w:space="0" w:color="525252" w:themeColor="accent3" w:themeShade="80"/>
            </w:tcBorders>
            <w:shd w:val="clear" w:color="auto" w:fill="2F5496" w:themeFill="accent1" w:themeFillShade="BF"/>
            <w:vAlign w:val="center"/>
            <w:hideMark/>
          </w:tcPr>
          <w:p w14:paraId="44B00061"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Valore richiesto</w:t>
            </w:r>
          </w:p>
        </w:tc>
        <w:tc>
          <w:tcPr>
            <w:tcW w:w="1120" w:type="dxa"/>
            <w:tcBorders>
              <w:bottom w:val="single" w:sz="8" w:space="0" w:color="525252" w:themeColor="accent3" w:themeShade="80"/>
            </w:tcBorders>
            <w:shd w:val="clear" w:color="auto" w:fill="2F5496" w:themeFill="accent1" w:themeFillShade="BF"/>
            <w:vAlign w:val="center"/>
            <w:hideMark/>
          </w:tcPr>
          <w:p w14:paraId="2F0B579D"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Unità di misura</w:t>
            </w:r>
          </w:p>
        </w:tc>
        <w:tc>
          <w:tcPr>
            <w:tcW w:w="1200" w:type="dxa"/>
            <w:tcBorders>
              <w:bottom w:val="single" w:sz="8" w:space="0" w:color="525252" w:themeColor="accent3" w:themeShade="80"/>
            </w:tcBorders>
            <w:shd w:val="clear" w:color="auto" w:fill="2F5496" w:themeFill="accent1" w:themeFillShade="BF"/>
            <w:noWrap/>
            <w:vAlign w:val="center"/>
            <w:hideMark/>
          </w:tcPr>
          <w:p w14:paraId="612CFBB9"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TOTALE</w:t>
            </w:r>
          </w:p>
        </w:tc>
      </w:tr>
      <w:tr w:rsidR="00801F4F" w:rsidRPr="001F5BF6" w14:paraId="3377DFAC" w14:textId="77777777" w:rsidTr="00FA0EEC">
        <w:trPr>
          <w:trHeight w:val="300"/>
          <w:jc w:val="center"/>
        </w:trPr>
        <w:tc>
          <w:tcPr>
            <w:tcW w:w="1160" w:type="dxa"/>
            <w:vMerge w:val="restart"/>
            <w:tcBorders>
              <w:top w:val="single" w:sz="8" w:space="0" w:color="525252" w:themeColor="accent3" w:themeShade="80"/>
              <w:bottom w:val="nil"/>
              <w:right w:val="single" w:sz="8" w:space="0" w:color="525252" w:themeColor="accent3" w:themeShade="80"/>
            </w:tcBorders>
            <w:shd w:val="clear" w:color="auto" w:fill="FFFFFF" w:themeFill="background1"/>
            <w:noWrap/>
            <w:vAlign w:val="center"/>
            <w:hideMark/>
          </w:tcPr>
          <w:p w14:paraId="47ADDBF8" w14:textId="77777777" w:rsidR="00801F4F" w:rsidRPr="001F5BF6" w:rsidRDefault="00801F4F" w:rsidP="00FA0EEC">
            <w:pPr>
              <w:rPr>
                <w:rFonts w:cs="Calibri"/>
                <w:b/>
                <w:bCs/>
                <w:color w:val="000000"/>
                <w:sz w:val="16"/>
                <w:szCs w:val="16"/>
              </w:rPr>
            </w:pPr>
            <w:r w:rsidRPr="001F5BF6">
              <w:rPr>
                <w:rFonts w:cs="Calibri"/>
                <w:b/>
                <w:bCs/>
                <w:color w:val="000000"/>
                <w:sz w:val="16"/>
                <w:szCs w:val="16"/>
              </w:rPr>
              <w:t>Costi diretti</w:t>
            </w:r>
          </w:p>
        </w:tc>
        <w:tc>
          <w:tcPr>
            <w:tcW w:w="960" w:type="dxa"/>
            <w:tcBorders>
              <w:top w:val="single" w:sz="8" w:space="0" w:color="525252" w:themeColor="accent3" w:themeShade="80"/>
              <w:left w:val="single" w:sz="8" w:space="0" w:color="525252" w:themeColor="accent3" w:themeShade="80"/>
              <w:bottom w:val="single" w:sz="8" w:space="0" w:color="525252" w:themeColor="accent3" w:themeShade="80"/>
            </w:tcBorders>
            <w:shd w:val="clear" w:color="auto" w:fill="FFFFFF" w:themeFill="background1"/>
            <w:vAlign w:val="center"/>
            <w:hideMark/>
          </w:tcPr>
          <w:p w14:paraId="73DC8691" w14:textId="77777777" w:rsidR="00801F4F" w:rsidRPr="001F5BF6" w:rsidRDefault="00801F4F" w:rsidP="00FA0EEC">
            <w:pPr>
              <w:jc w:val="center"/>
              <w:rPr>
                <w:rFonts w:cs="Calibri"/>
                <w:color w:val="000000"/>
                <w:sz w:val="16"/>
                <w:szCs w:val="16"/>
              </w:rPr>
            </w:pPr>
            <w:r w:rsidRPr="001F5BF6">
              <w:rPr>
                <w:rFonts w:cs="Calibri"/>
                <w:color w:val="000000"/>
                <w:sz w:val="16"/>
                <w:szCs w:val="16"/>
              </w:rPr>
              <w:t>A1</w:t>
            </w:r>
          </w:p>
        </w:tc>
        <w:tc>
          <w:tcPr>
            <w:tcW w:w="1102" w:type="dxa"/>
            <w:tcBorders>
              <w:top w:val="single" w:sz="8" w:space="0" w:color="525252" w:themeColor="accent3" w:themeShade="80"/>
              <w:bottom w:val="single" w:sz="8" w:space="0" w:color="525252" w:themeColor="accent3" w:themeShade="80"/>
            </w:tcBorders>
            <w:shd w:val="clear" w:color="auto" w:fill="FFFFFF" w:themeFill="background1"/>
            <w:noWrap/>
            <w:vAlign w:val="center"/>
            <w:hideMark/>
          </w:tcPr>
          <w:p w14:paraId="6E2361D5" w14:textId="77777777" w:rsidR="00801F4F" w:rsidRPr="001F5BF6" w:rsidRDefault="00801F4F" w:rsidP="00FA0EEC">
            <w:pPr>
              <w:jc w:val="center"/>
              <w:rPr>
                <w:rFonts w:cs="Calibri"/>
                <w:color w:val="000000"/>
                <w:sz w:val="16"/>
                <w:szCs w:val="16"/>
              </w:rPr>
            </w:pPr>
            <w:r w:rsidRPr="001F5BF6">
              <w:rPr>
                <w:rFonts w:cs="Calibri"/>
                <w:color w:val="000000"/>
                <w:sz w:val="16"/>
                <w:szCs w:val="16"/>
              </w:rPr>
              <w:t xml:space="preserve">Partecipazione fiere </w:t>
            </w:r>
          </w:p>
        </w:tc>
        <w:tc>
          <w:tcPr>
            <w:tcW w:w="960" w:type="dxa"/>
            <w:tcBorders>
              <w:top w:val="single" w:sz="8" w:space="0" w:color="525252" w:themeColor="accent3" w:themeShade="80"/>
              <w:bottom w:val="single" w:sz="8" w:space="0" w:color="525252" w:themeColor="accent3" w:themeShade="80"/>
            </w:tcBorders>
            <w:shd w:val="clear" w:color="auto" w:fill="FFFFFF" w:themeFill="background1"/>
            <w:noWrap/>
            <w:vAlign w:val="center"/>
            <w:hideMark/>
          </w:tcPr>
          <w:p w14:paraId="5E6D1DA4" w14:textId="77777777" w:rsidR="00801F4F" w:rsidRPr="001F5BF6" w:rsidRDefault="00801F4F" w:rsidP="00FA0EEC">
            <w:pPr>
              <w:rPr>
                <w:rFonts w:cs="Calibri"/>
                <w:color w:val="000000"/>
                <w:sz w:val="16"/>
                <w:szCs w:val="16"/>
              </w:rPr>
            </w:pPr>
            <w:r w:rsidRPr="001F5BF6">
              <w:rPr>
                <w:rFonts w:cs="Calibri"/>
                <w:color w:val="000000"/>
                <w:sz w:val="16"/>
                <w:szCs w:val="16"/>
              </w:rPr>
              <w:t xml:space="preserve">         720,00   </w:t>
            </w:r>
          </w:p>
        </w:tc>
        <w:tc>
          <w:tcPr>
            <w:tcW w:w="960" w:type="dxa"/>
            <w:tcBorders>
              <w:top w:val="single" w:sz="8" w:space="0" w:color="525252" w:themeColor="accent3" w:themeShade="80"/>
              <w:bottom w:val="single" w:sz="8" w:space="0" w:color="525252" w:themeColor="accent3" w:themeShade="80"/>
            </w:tcBorders>
            <w:shd w:val="clear" w:color="auto" w:fill="FFFFFF" w:themeFill="background1"/>
            <w:noWrap/>
            <w:vAlign w:val="center"/>
            <w:hideMark/>
          </w:tcPr>
          <w:p w14:paraId="1B1700C3" w14:textId="77777777" w:rsidR="00801F4F" w:rsidRPr="001F5BF6" w:rsidRDefault="00801F4F" w:rsidP="00FA0EEC">
            <w:pPr>
              <w:jc w:val="center"/>
              <w:rPr>
                <w:rFonts w:cs="Calibri"/>
                <w:color w:val="000000"/>
                <w:sz w:val="16"/>
                <w:szCs w:val="16"/>
              </w:rPr>
            </w:pPr>
            <w:r w:rsidRPr="001F5BF6">
              <w:rPr>
                <w:rFonts w:cs="Calibri"/>
                <w:color w:val="000000"/>
                <w:sz w:val="16"/>
                <w:szCs w:val="16"/>
              </w:rPr>
              <w:t>50</w:t>
            </w:r>
          </w:p>
        </w:tc>
        <w:tc>
          <w:tcPr>
            <w:tcW w:w="1120" w:type="dxa"/>
            <w:tcBorders>
              <w:top w:val="single" w:sz="8" w:space="0" w:color="525252" w:themeColor="accent3" w:themeShade="80"/>
              <w:bottom w:val="single" w:sz="8" w:space="0" w:color="525252" w:themeColor="accent3" w:themeShade="80"/>
            </w:tcBorders>
            <w:shd w:val="clear" w:color="auto" w:fill="FFFFFF" w:themeFill="background1"/>
            <w:vAlign w:val="center"/>
            <w:hideMark/>
          </w:tcPr>
          <w:p w14:paraId="5C84E6B2" w14:textId="77777777" w:rsidR="00801F4F" w:rsidRPr="001F5BF6" w:rsidRDefault="00801F4F" w:rsidP="00FA0EEC">
            <w:pPr>
              <w:jc w:val="center"/>
              <w:rPr>
                <w:rFonts w:cs="Calibri"/>
                <w:color w:val="000000"/>
                <w:sz w:val="18"/>
                <w:szCs w:val="18"/>
              </w:rPr>
            </w:pPr>
            <w:r w:rsidRPr="001F5BF6">
              <w:rPr>
                <w:rFonts w:cs="Calibri"/>
                <w:color w:val="000000"/>
                <w:sz w:val="18"/>
                <w:szCs w:val="18"/>
              </w:rPr>
              <w:t>mq</w:t>
            </w:r>
          </w:p>
        </w:tc>
        <w:tc>
          <w:tcPr>
            <w:tcW w:w="1200" w:type="dxa"/>
            <w:tcBorders>
              <w:top w:val="single" w:sz="8" w:space="0" w:color="525252" w:themeColor="accent3" w:themeShade="80"/>
              <w:bottom w:val="single" w:sz="8" w:space="0" w:color="525252" w:themeColor="accent3" w:themeShade="80"/>
            </w:tcBorders>
            <w:shd w:val="clear" w:color="auto" w:fill="FFFFFF" w:themeFill="background1"/>
            <w:noWrap/>
            <w:vAlign w:val="center"/>
            <w:hideMark/>
          </w:tcPr>
          <w:p w14:paraId="71931ACB"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36.000,00   </w:t>
            </w:r>
          </w:p>
        </w:tc>
      </w:tr>
      <w:tr w:rsidR="00801F4F" w:rsidRPr="001F5BF6" w14:paraId="44D8F2E8" w14:textId="77777777" w:rsidTr="00FA0EEC">
        <w:trPr>
          <w:trHeight w:val="300"/>
          <w:jc w:val="center"/>
        </w:trPr>
        <w:tc>
          <w:tcPr>
            <w:tcW w:w="1160" w:type="dxa"/>
            <w:vMerge/>
            <w:tcBorders>
              <w:top w:val="single" w:sz="8" w:space="0" w:color="525252" w:themeColor="accent3" w:themeShade="80"/>
              <w:bottom w:val="single" w:sz="8" w:space="0" w:color="525252" w:themeColor="accent3" w:themeShade="80"/>
              <w:right w:val="single" w:sz="8" w:space="0" w:color="525252" w:themeColor="accent3" w:themeShade="80"/>
            </w:tcBorders>
            <w:shd w:val="clear" w:color="auto" w:fill="FFFFFF" w:themeFill="background1"/>
            <w:vAlign w:val="center"/>
            <w:hideMark/>
          </w:tcPr>
          <w:p w14:paraId="18CCA221" w14:textId="77777777" w:rsidR="00801F4F" w:rsidRPr="001F5BF6" w:rsidRDefault="00801F4F" w:rsidP="00FA0EEC">
            <w:pPr>
              <w:rPr>
                <w:rFonts w:cs="Calibri"/>
                <w:b/>
                <w:bCs/>
                <w:color w:val="000000"/>
                <w:sz w:val="16"/>
                <w:szCs w:val="16"/>
              </w:rPr>
            </w:pPr>
          </w:p>
        </w:tc>
        <w:tc>
          <w:tcPr>
            <w:tcW w:w="960" w:type="dxa"/>
            <w:tcBorders>
              <w:top w:val="single" w:sz="8" w:space="0" w:color="525252" w:themeColor="accent3" w:themeShade="80"/>
              <w:left w:val="single" w:sz="8" w:space="0" w:color="525252" w:themeColor="accent3" w:themeShade="80"/>
              <w:bottom w:val="single" w:sz="8" w:space="0" w:color="525252" w:themeColor="accent3" w:themeShade="80"/>
            </w:tcBorders>
            <w:shd w:val="clear" w:color="auto" w:fill="auto"/>
            <w:vAlign w:val="center"/>
            <w:hideMark/>
          </w:tcPr>
          <w:p w14:paraId="7D747AE4" w14:textId="77777777" w:rsidR="00801F4F" w:rsidRPr="001F5BF6" w:rsidRDefault="00801F4F" w:rsidP="00FA0EEC">
            <w:pPr>
              <w:jc w:val="center"/>
              <w:rPr>
                <w:rFonts w:cs="Calibri"/>
                <w:color w:val="000000"/>
                <w:sz w:val="16"/>
                <w:szCs w:val="16"/>
              </w:rPr>
            </w:pPr>
            <w:r w:rsidRPr="001F5BF6">
              <w:rPr>
                <w:rFonts w:cs="Calibri"/>
                <w:color w:val="000000"/>
                <w:sz w:val="16"/>
                <w:szCs w:val="16"/>
              </w:rPr>
              <w:t>B</w:t>
            </w:r>
          </w:p>
        </w:tc>
        <w:tc>
          <w:tcPr>
            <w:tcW w:w="1102" w:type="dxa"/>
            <w:tcBorders>
              <w:top w:val="single" w:sz="8" w:space="0" w:color="525252" w:themeColor="accent3" w:themeShade="80"/>
              <w:bottom w:val="single" w:sz="8" w:space="0" w:color="525252" w:themeColor="accent3" w:themeShade="80"/>
            </w:tcBorders>
            <w:shd w:val="clear" w:color="auto" w:fill="auto"/>
            <w:noWrap/>
            <w:vAlign w:val="center"/>
            <w:hideMark/>
          </w:tcPr>
          <w:p w14:paraId="789B71CA" w14:textId="77777777" w:rsidR="00801F4F" w:rsidRPr="001F5BF6" w:rsidRDefault="00801F4F" w:rsidP="00FA0EEC">
            <w:pPr>
              <w:jc w:val="center"/>
              <w:rPr>
                <w:rFonts w:cs="Calibri"/>
                <w:color w:val="000000"/>
                <w:sz w:val="16"/>
                <w:szCs w:val="16"/>
              </w:rPr>
            </w:pPr>
            <w:r w:rsidRPr="001F5BF6">
              <w:rPr>
                <w:rFonts w:cs="Calibri"/>
                <w:color w:val="000000"/>
                <w:sz w:val="16"/>
                <w:szCs w:val="16"/>
              </w:rPr>
              <w:t>Marketing</w:t>
            </w:r>
          </w:p>
        </w:tc>
        <w:tc>
          <w:tcPr>
            <w:tcW w:w="960" w:type="dxa"/>
            <w:tcBorders>
              <w:top w:val="single" w:sz="8" w:space="0" w:color="525252" w:themeColor="accent3" w:themeShade="80"/>
              <w:bottom w:val="single" w:sz="8" w:space="0" w:color="525252" w:themeColor="accent3" w:themeShade="80"/>
            </w:tcBorders>
            <w:shd w:val="clear" w:color="auto" w:fill="auto"/>
            <w:noWrap/>
            <w:vAlign w:val="center"/>
            <w:hideMark/>
          </w:tcPr>
          <w:p w14:paraId="7E69410C" w14:textId="77777777" w:rsidR="00801F4F" w:rsidRPr="001F5BF6" w:rsidRDefault="00801F4F" w:rsidP="00FA0EEC">
            <w:pPr>
              <w:rPr>
                <w:rFonts w:cs="Calibri"/>
                <w:color w:val="000000"/>
                <w:sz w:val="16"/>
                <w:szCs w:val="16"/>
              </w:rPr>
            </w:pPr>
            <w:r w:rsidRPr="001F5BF6">
              <w:rPr>
                <w:rFonts w:cs="Calibri"/>
                <w:color w:val="000000"/>
                <w:sz w:val="16"/>
                <w:szCs w:val="16"/>
              </w:rPr>
              <w:t xml:space="preserve">         390,00   </w:t>
            </w:r>
          </w:p>
        </w:tc>
        <w:tc>
          <w:tcPr>
            <w:tcW w:w="960" w:type="dxa"/>
            <w:tcBorders>
              <w:top w:val="single" w:sz="8" w:space="0" w:color="525252" w:themeColor="accent3" w:themeShade="80"/>
              <w:bottom w:val="single" w:sz="8" w:space="0" w:color="525252" w:themeColor="accent3" w:themeShade="80"/>
            </w:tcBorders>
            <w:shd w:val="clear" w:color="auto" w:fill="auto"/>
            <w:noWrap/>
            <w:vAlign w:val="center"/>
            <w:hideMark/>
          </w:tcPr>
          <w:p w14:paraId="26F17481" w14:textId="77777777" w:rsidR="00801F4F" w:rsidRPr="001F5BF6" w:rsidRDefault="00801F4F" w:rsidP="00FA0EEC">
            <w:pPr>
              <w:jc w:val="center"/>
              <w:rPr>
                <w:rFonts w:cs="Calibri"/>
                <w:color w:val="000000"/>
                <w:sz w:val="16"/>
                <w:szCs w:val="16"/>
              </w:rPr>
            </w:pPr>
            <w:r w:rsidRPr="001F5BF6">
              <w:rPr>
                <w:rFonts w:cs="Calibri"/>
                <w:color w:val="000000"/>
                <w:sz w:val="16"/>
                <w:szCs w:val="16"/>
              </w:rPr>
              <w:t>2</w:t>
            </w:r>
          </w:p>
        </w:tc>
        <w:tc>
          <w:tcPr>
            <w:tcW w:w="1120" w:type="dxa"/>
            <w:tcBorders>
              <w:top w:val="single" w:sz="8" w:space="0" w:color="525252" w:themeColor="accent3" w:themeShade="80"/>
              <w:bottom w:val="single" w:sz="8" w:space="0" w:color="525252" w:themeColor="accent3" w:themeShade="80"/>
            </w:tcBorders>
            <w:shd w:val="clear" w:color="auto" w:fill="auto"/>
            <w:vAlign w:val="center"/>
            <w:hideMark/>
          </w:tcPr>
          <w:p w14:paraId="180F382E" w14:textId="77777777" w:rsidR="00801F4F" w:rsidRPr="001F5BF6" w:rsidRDefault="00801F4F" w:rsidP="00FA0EEC">
            <w:pPr>
              <w:jc w:val="center"/>
              <w:rPr>
                <w:rFonts w:cs="Calibri"/>
                <w:color w:val="000000"/>
                <w:sz w:val="18"/>
                <w:szCs w:val="18"/>
              </w:rPr>
            </w:pPr>
            <w:r w:rsidRPr="001F5BF6">
              <w:rPr>
                <w:rFonts w:cs="Calibri"/>
                <w:color w:val="000000"/>
                <w:sz w:val="18"/>
                <w:szCs w:val="18"/>
              </w:rPr>
              <w:t>giorno/uomo</w:t>
            </w:r>
          </w:p>
        </w:tc>
        <w:tc>
          <w:tcPr>
            <w:tcW w:w="1200" w:type="dxa"/>
            <w:tcBorders>
              <w:top w:val="single" w:sz="8" w:space="0" w:color="525252" w:themeColor="accent3" w:themeShade="80"/>
              <w:bottom w:val="single" w:sz="8" w:space="0" w:color="525252" w:themeColor="accent3" w:themeShade="80"/>
            </w:tcBorders>
            <w:shd w:val="clear" w:color="auto" w:fill="auto"/>
            <w:noWrap/>
            <w:vAlign w:val="center"/>
            <w:hideMark/>
          </w:tcPr>
          <w:p w14:paraId="1AEB02D9"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780,00   </w:t>
            </w:r>
          </w:p>
        </w:tc>
      </w:tr>
      <w:tr w:rsidR="00801F4F" w:rsidRPr="001F5BF6" w14:paraId="197FD659" w14:textId="77777777" w:rsidTr="00FA0EEC">
        <w:trPr>
          <w:trHeight w:val="160"/>
          <w:jc w:val="center"/>
        </w:trPr>
        <w:tc>
          <w:tcPr>
            <w:tcW w:w="2120" w:type="dxa"/>
            <w:gridSpan w:val="2"/>
            <w:tcBorders>
              <w:top w:val="single" w:sz="8" w:space="0" w:color="525252" w:themeColor="accent3" w:themeShade="80"/>
              <w:bottom w:val="single" w:sz="8" w:space="0" w:color="525252" w:themeColor="accent3" w:themeShade="80"/>
            </w:tcBorders>
            <w:shd w:val="clear" w:color="auto" w:fill="FFFFFF" w:themeFill="background1"/>
            <w:vAlign w:val="center"/>
            <w:hideMark/>
          </w:tcPr>
          <w:p w14:paraId="51EB9156" w14:textId="77777777" w:rsidR="00801F4F" w:rsidRPr="001F5BF6" w:rsidRDefault="00801F4F" w:rsidP="00FA0EEC">
            <w:pPr>
              <w:rPr>
                <w:rFonts w:cs="Calibri"/>
                <w:b/>
                <w:bCs/>
                <w:color w:val="000000"/>
                <w:sz w:val="16"/>
                <w:szCs w:val="16"/>
              </w:rPr>
            </w:pPr>
            <w:r w:rsidRPr="001F5BF6">
              <w:rPr>
                <w:rFonts w:cs="Calibri"/>
                <w:b/>
                <w:bCs/>
                <w:color w:val="000000"/>
                <w:sz w:val="16"/>
                <w:szCs w:val="16"/>
              </w:rPr>
              <w:t>Totale costi diretti</w:t>
            </w:r>
          </w:p>
        </w:tc>
        <w:tc>
          <w:tcPr>
            <w:tcW w:w="1102" w:type="dxa"/>
            <w:tcBorders>
              <w:top w:val="single" w:sz="8" w:space="0" w:color="525252" w:themeColor="accent3" w:themeShade="80"/>
              <w:bottom w:val="single" w:sz="8" w:space="0" w:color="525252" w:themeColor="accent3" w:themeShade="80"/>
            </w:tcBorders>
            <w:shd w:val="clear" w:color="auto" w:fill="FFFFFF" w:themeFill="background1"/>
            <w:noWrap/>
            <w:vAlign w:val="center"/>
            <w:hideMark/>
          </w:tcPr>
          <w:p w14:paraId="55336F07" w14:textId="77777777" w:rsidR="00801F4F" w:rsidRPr="001F5BF6" w:rsidRDefault="00801F4F" w:rsidP="00FA0EEC">
            <w:pPr>
              <w:rPr>
                <w:rFonts w:cs="Calibri"/>
                <w:color w:val="000000"/>
                <w:sz w:val="16"/>
                <w:szCs w:val="16"/>
              </w:rPr>
            </w:pPr>
            <w:r w:rsidRPr="001F5BF6">
              <w:rPr>
                <w:rFonts w:cs="Calibri"/>
                <w:color w:val="000000"/>
                <w:sz w:val="16"/>
                <w:szCs w:val="16"/>
              </w:rPr>
              <w:t> </w:t>
            </w:r>
          </w:p>
        </w:tc>
        <w:tc>
          <w:tcPr>
            <w:tcW w:w="960" w:type="dxa"/>
            <w:tcBorders>
              <w:top w:val="single" w:sz="8" w:space="0" w:color="525252" w:themeColor="accent3" w:themeShade="80"/>
              <w:bottom w:val="single" w:sz="8" w:space="0" w:color="525252" w:themeColor="accent3" w:themeShade="80"/>
            </w:tcBorders>
            <w:shd w:val="clear" w:color="auto" w:fill="FFFFFF" w:themeFill="background1"/>
            <w:noWrap/>
            <w:vAlign w:val="center"/>
            <w:hideMark/>
          </w:tcPr>
          <w:p w14:paraId="313730C4" w14:textId="77777777" w:rsidR="00801F4F" w:rsidRPr="001F5BF6" w:rsidRDefault="00801F4F" w:rsidP="00FA0EEC">
            <w:pPr>
              <w:rPr>
                <w:rFonts w:cs="Calibri"/>
                <w:color w:val="000000"/>
                <w:sz w:val="16"/>
                <w:szCs w:val="16"/>
              </w:rPr>
            </w:pPr>
            <w:r w:rsidRPr="001F5BF6">
              <w:rPr>
                <w:rFonts w:cs="Calibri"/>
                <w:color w:val="000000"/>
                <w:sz w:val="16"/>
                <w:szCs w:val="16"/>
              </w:rPr>
              <w:t> </w:t>
            </w:r>
          </w:p>
        </w:tc>
        <w:tc>
          <w:tcPr>
            <w:tcW w:w="960" w:type="dxa"/>
            <w:tcBorders>
              <w:top w:val="single" w:sz="8" w:space="0" w:color="525252" w:themeColor="accent3" w:themeShade="80"/>
              <w:bottom w:val="single" w:sz="8" w:space="0" w:color="525252" w:themeColor="accent3" w:themeShade="80"/>
            </w:tcBorders>
            <w:shd w:val="clear" w:color="auto" w:fill="FFFFFF" w:themeFill="background1"/>
            <w:noWrap/>
            <w:vAlign w:val="center"/>
            <w:hideMark/>
          </w:tcPr>
          <w:p w14:paraId="2D56A526" w14:textId="77777777" w:rsidR="00801F4F" w:rsidRPr="001F5BF6" w:rsidRDefault="00801F4F" w:rsidP="00FA0EEC">
            <w:pPr>
              <w:rPr>
                <w:rFonts w:cs="Calibri"/>
                <w:color w:val="000000"/>
              </w:rPr>
            </w:pPr>
            <w:r w:rsidRPr="001F5BF6">
              <w:rPr>
                <w:rFonts w:cs="Calibri"/>
                <w:color w:val="000000"/>
              </w:rPr>
              <w:t> </w:t>
            </w:r>
          </w:p>
        </w:tc>
        <w:tc>
          <w:tcPr>
            <w:tcW w:w="1120" w:type="dxa"/>
            <w:tcBorders>
              <w:top w:val="single" w:sz="8" w:space="0" w:color="525252" w:themeColor="accent3" w:themeShade="80"/>
              <w:bottom w:val="single" w:sz="8" w:space="0" w:color="525252" w:themeColor="accent3" w:themeShade="80"/>
            </w:tcBorders>
            <w:shd w:val="clear" w:color="auto" w:fill="FFFFFF" w:themeFill="background1"/>
            <w:noWrap/>
            <w:vAlign w:val="center"/>
            <w:hideMark/>
          </w:tcPr>
          <w:p w14:paraId="700A6364" w14:textId="77777777" w:rsidR="00801F4F" w:rsidRPr="001F5BF6" w:rsidRDefault="00801F4F" w:rsidP="00FA0EEC">
            <w:pPr>
              <w:rPr>
                <w:rFonts w:cs="Calibri"/>
                <w:b/>
                <w:bCs/>
                <w:color w:val="000000"/>
                <w:sz w:val="18"/>
                <w:szCs w:val="18"/>
              </w:rPr>
            </w:pPr>
            <w:r w:rsidRPr="001F5BF6">
              <w:rPr>
                <w:rFonts w:cs="Calibri"/>
                <w:b/>
                <w:bCs/>
                <w:color w:val="000000"/>
                <w:sz w:val="18"/>
                <w:szCs w:val="18"/>
              </w:rPr>
              <w:t> </w:t>
            </w:r>
          </w:p>
        </w:tc>
        <w:tc>
          <w:tcPr>
            <w:tcW w:w="1200" w:type="dxa"/>
            <w:tcBorders>
              <w:top w:val="single" w:sz="8" w:space="0" w:color="525252" w:themeColor="accent3" w:themeShade="80"/>
              <w:bottom w:val="single" w:sz="8" w:space="0" w:color="525252" w:themeColor="accent3" w:themeShade="80"/>
            </w:tcBorders>
            <w:shd w:val="clear" w:color="auto" w:fill="FFFFFF" w:themeFill="background1"/>
            <w:noWrap/>
            <w:vAlign w:val="center"/>
            <w:hideMark/>
          </w:tcPr>
          <w:p w14:paraId="5993E332"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36.780,00   </w:t>
            </w:r>
          </w:p>
        </w:tc>
      </w:tr>
      <w:tr w:rsidR="00801F4F" w:rsidRPr="001F5BF6" w14:paraId="1C6EC27E" w14:textId="77777777" w:rsidTr="00FA0EEC">
        <w:trPr>
          <w:trHeight w:val="279"/>
          <w:jc w:val="center"/>
        </w:trPr>
        <w:tc>
          <w:tcPr>
            <w:tcW w:w="6262" w:type="dxa"/>
            <w:gridSpan w:val="6"/>
            <w:tcBorders>
              <w:top w:val="single" w:sz="8" w:space="0" w:color="525252" w:themeColor="accent3" w:themeShade="80"/>
              <w:bottom w:val="single" w:sz="8" w:space="0" w:color="525252" w:themeColor="accent3" w:themeShade="80"/>
            </w:tcBorders>
            <w:shd w:val="clear" w:color="auto" w:fill="FFFFFF" w:themeFill="background1"/>
            <w:vAlign w:val="center"/>
            <w:hideMark/>
          </w:tcPr>
          <w:p w14:paraId="584EDE5C" w14:textId="77777777" w:rsidR="00801F4F" w:rsidRPr="001F5BF6" w:rsidRDefault="00801F4F" w:rsidP="00FA0EEC">
            <w:pPr>
              <w:rPr>
                <w:rFonts w:cs="Calibri"/>
                <w:b/>
                <w:bCs/>
                <w:color w:val="000000"/>
                <w:sz w:val="18"/>
                <w:szCs w:val="18"/>
              </w:rPr>
            </w:pPr>
            <w:r w:rsidRPr="001F5BF6">
              <w:rPr>
                <w:rFonts w:cs="Calibri"/>
                <w:b/>
                <w:bCs/>
                <w:color w:val="000000"/>
                <w:sz w:val="16"/>
                <w:szCs w:val="16"/>
              </w:rPr>
              <w:t>Totale costi diretti per il personale (20% dei costi diretti diversi dal personale)</w:t>
            </w:r>
          </w:p>
        </w:tc>
        <w:tc>
          <w:tcPr>
            <w:tcW w:w="1200" w:type="dxa"/>
            <w:tcBorders>
              <w:top w:val="single" w:sz="8" w:space="0" w:color="525252" w:themeColor="accent3" w:themeShade="80"/>
              <w:bottom w:val="single" w:sz="8" w:space="0" w:color="525252" w:themeColor="accent3" w:themeShade="80"/>
            </w:tcBorders>
            <w:shd w:val="clear" w:color="auto" w:fill="FFFFFF" w:themeFill="background1"/>
            <w:noWrap/>
            <w:vAlign w:val="center"/>
            <w:hideMark/>
          </w:tcPr>
          <w:p w14:paraId="64B55AF1"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7.356,00   </w:t>
            </w:r>
          </w:p>
        </w:tc>
      </w:tr>
      <w:tr w:rsidR="00801F4F" w:rsidRPr="001F5BF6" w14:paraId="365FF1F1" w14:textId="77777777" w:rsidTr="00FA0EEC">
        <w:trPr>
          <w:trHeight w:val="300"/>
          <w:jc w:val="center"/>
        </w:trPr>
        <w:tc>
          <w:tcPr>
            <w:tcW w:w="2120" w:type="dxa"/>
            <w:gridSpan w:val="2"/>
            <w:tcBorders>
              <w:top w:val="single" w:sz="8" w:space="0" w:color="525252" w:themeColor="accent3" w:themeShade="80"/>
            </w:tcBorders>
            <w:shd w:val="clear" w:color="auto" w:fill="FFFFFF" w:themeFill="background1"/>
            <w:noWrap/>
            <w:vAlign w:val="center"/>
            <w:hideMark/>
          </w:tcPr>
          <w:p w14:paraId="602827AD" w14:textId="77777777" w:rsidR="00801F4F" w:rsidRPr="001F5BF6" w:rsidRDefault="00801F4F" w:rsidP="00FA0EEC">
            <w:pPr>
              <w:rPr>
                <w:rFonts w:cs="Calibri"/>
                <w:b/>
                <w:bCs/>
                <w:color w:val="000000"/>
                <w:sz w:val="16"/>
                <w:szCs w:val="16"/>
              </w:rPr>
            </w:pPr>
            <w:r w:rsidRPr="001F5BF6">
              <w:rPr>
                <w:rFonts w:cs="Calibri"/>
                <w:b/>
                <w:bCs/>
                <w:color w:val="000000"/>
                <w:sz w:val="16"/>
                <w:szCs w:val="16"/>
              </w:rPr>
              <w:t>TOTALE GENERALE</w:t>
            </w:r>
          </w:p>
        </w:tc>
        <w:tc>
          <w:tcPr>
            <w:tcW w:w="1102" w:type="dxa"/>
            <w:tcBorders>
              <w:top w:val="single" w:sz="8" w:space="0" w:color="525252" w:themeColor="accent3" w:themeShade="80"/>
            </w:tcBorders>
            <w:shd w:val="clear" w:color="auto" w:fill="FFFFFF" w:themeFill="background1"/>
            <w:noWrap/>
            <w:vAlign w:val="center"/>
            <w:hideMark/>
          </w:tcPr>
          <w:p w14:paraId="7F86F1C2" w14:textId="77777777" w:rsidR="00801F4F" w:rsidRPr="001F5BF6" w:rsidRDefault="00801F4F" w:rsidP="00FA0EEC">
            <w:pPr>
              <w:rPr>
                <w:rFonts w:cs="Calibri"/>
                <w:b/>
                <w:bCs/>
                <w:color w:val="000000"/>
                <w:sz w:val="16"/>
                <w:szCs w:val="16"/>
              </w:rPr>
            </w:pPr>
            <w:r w:rsidRPr="001F5BF6">
              <w:rPr>
                <w:rFonts w:cs="Calibri"/>
                <w:b/>
                <w:bCs/>
                <w:color w:val="000000"/>
                <w:sz w:val="16"/>
                <w:szCs w:val="16"/>
              </w:rPr>
              <w:t> </w:t>
            </w:r>
          </w:p>
        </w:tc>
        <w:tc>
          <w:tcPr>
            <w:tcW w:w="960" w:type="dxa"/>
            <w:tcBorders>
              <w:top w:val="single" w:sz="8" w:space="0" w:color="525252" w:themeColor="accent3" w:themeShade="80"/>
            </w:tcBorders>
            <w:shd w:val="clear" w:color="auto" w:fill="FFFFFF" w:themeFill="background1"/>
            <w:noWrap/>
            <w:vAlign w:val="center"/>
            <w:hideMark/>
          </w:tcPr>
          <w:p w14:paraId="76F59E7A" w14:textId="77777777" w:rsidR="00801F4F" w:rsidRPr="001F5BF6" w:rsidRDefault="00801F4F" w:rsidP="00FA0EEC">
            <w:pPr>
              <w:rPr>
                <w:rFonts w:cs="Calibri"/>
                <w:b/>
                <w:bCs/>
                <w:color w:val="000000"/>
                <w:sz w:val="16"/>
                <w:szCs w:val="16"/>
              </w:rPr>
            </w:pPr>
            <w:r w:rsidRPr="001F5BF6">
              <w:rPr>
                <w:rFonts w:cs="Calibri"/>
                <w:b/>
                <w:bCs/>
                <w:color w:val="000000"/>
                <w:sz w:val="16"/>
                <w:szCs w:val="16"/>
              </w:rPr>
              <w:t> </w:t>
            </w:r>
          </w:p>
        </w:tc>
        <w:tc>
          <w:tcPr>
            <w:tcW w:w="960" w:type="dxa"/>
            <w:tcBorders>
              <w:top w:val="single" w:sz="8" w:space="0" w:color="525252" w:themeColor="accent3" w:themeShade="80"/>
            </w:tcBorders>
            <w:shd w:val="clear" w:color="auto" w:fill="FFFFFF" w:themeFill="background1"/>
            <w:noWrap/>
            <w:vAlign w:val="center"/>
            <w:hideMark/>
          </w:tcPr>
          <w:p w14:paraId="47CDAA07" w14:textId="77777777" w:rsidR="00801F4F" w:rsidRPr="001F5BF6" w:rsidRDefault="00801F4F" w:rsidP="00FA0EEC">
            <w:pPr>
              <w:rPr>
                <w:rFonts w:cs="Calibri"/>
                <w:color w:val="000000"/>
              </w:rPr>
            </w:pPr>
            <w:r w:rsidRPr="001F5BF6">
              <w:rPr>
                <w:rFonts w:cs="Calibri"/>
                <w:color w:val="000000"/>
              </w:rPr>
              <w:t> </w:t>
            </w:r>
          </w:p>
        </w:tc>
        <w:tc>
          <w:tcPr>
            <w:tcW w:w="1120" w:type="dxa"/>
            <w:tcBorders>
              <w:top w:val="single" w:sz="8" w:space="0" w:color="525252" w:themeColor="accent3" w:themeShade="80"/>
            </w:tcBorders>
            <w:shd w:val="clear" w:color="auto" w:fill="FFFFFF" w:themeFill="background1"/>
            <w:noWrap/>
            <w:vAlign w:val="center"/>
            <w:hideMark/>
          </w:tcPr>
          <w:p w14:paraId="3800A430" w14:textId="77777777" w:rsidR="00801F4F" w:rsidRPr="001F5BF6" w:rsidRDefault="00801F4F" w:rsidP="00FA0EEC">
            <w:pPr>
              <w:rPr>
                <w:rFonts w:cs="Calibri"/>
                <w:b/>
                <w:bCs/>
                <w:color w:val="000000"/>
                <w:sz w:val="18"/>
                <w:szCs w:val="18"/>
              </w:rPr>
            </w:pPr>
            <w:r w:rsidRPr="001F5BF6">
              <w:rPr>
                <w:rFonts w:cs="Calibri"/>
                <w:b/>
                <w:bCs/>
                <w:color w:val="000000"/>
                <w:sz w:val="18"/>
                <w:szCs w:val="18"/>
              </w:rPr>
              <w:t> </w:t>
            </w:r>
          </w:p>
        </w:tc>
        <w:tc>
          <w:tcPr>
            <w:tcW w:w="1200" w:type="dxa"/>
            <w:tcBorders>
              <w:top w:val="single" w:sz="8" w:space="0" w:color="525252" w:themeColor="accent3" w:themeShade="80"/>
            </w:tcBorders>
            <w:shd w:val="clear" w:color="auto" w:fill="FFFFFF" w:themeFill="background1"/>
            <w:noWrap/>
            <w:vAlign w:val="center"/>
            <w:hideMark/>
          </w:tcPr>
          <w:p w14:paraId="0BA79085" w14:textId="77777777" w:rsidR="00801F4F" w:rsidRPr="001F5BF6" w:rsidRDefault="00801F4F" w:rsidP="00FA0EEC">
            <w:pPr>
              <w:keepNext/>
              <w:jc w:val="right"/>
              <w:rPr>
                <w:rFonts w:cs="Calibri"/>
                <w:b/>
                <w:bCs/>
                <w:color w:val="000000"/>
                <w:sz w:val="16"/>
                <w:szCs w:val="16"/>
              </w:rPr>
            </w:pPr>
            <w:r w:rsidRPr="001F5BF6">
              <w:rPr>
                <w:rFonts w:cs="Calibri"/>
                <w:b/>
                <w:bCs/>
                <w:color w:val="000000"/>
                <w:sz w:val="16"/>
                <w:szCs w:val="16"/>
              </w:rPr>
              <w:t xml:space="preserve">          44.136,00   </w:t>
            </w:r>
          </w:p>
        </w:tc>
      </w:tr>
    </w:tbl>
    <w:p w14:paraId="23CF7B60" w14:textId="77777777" w:rsidR="00801F4F" w:rsidRDefault="00801F4F" w:rsidP="00801F4F">
      <w:pPr>
        <w:pStyle w:val="Corpotesto"/>
        <w:spacing w:before="120"/>
        <w:ind w:right="226"/>
        <w:jc w:val="both"/>
        <w:rPr>
          <w:rFonts w:ascii="Titillium Web" w:hAnsi="Titillium Web"/>
          <w:i/>
          <w:spacing w:val="-1"/>
          <w:sz w:val="20"/>
          <w:szCs w:val="20"/>
        </w:rPr>
      </w:pPr>
    </w:p>
    <w:p w14:paraId="16AE180B" w14:textId="0CC2AF65" w:rsidR="00801F4F" w:rsidRPr="00801F4F" w:rsidRDefault="00801F4F" w:rsidP="00801F4F">
      <w:pPr>
        <w:rPr>
          <w:i/>
          <w:iCs/>
        </w:rPr>
      </w:pPr>
      <w:r w:rsidRPr="00801F4F">
        <w:rPr>
          <w:i/>
          <w:iCs/>
        </w:rPr>
        <w:t>Esempio di calcolo, sulla base di valori dei costi standard (€ 720,00/mq per allestimento e € 390,00/giornata-uomo per marketing), rispetto ad un intervento che prevede la partecipazione ad una fiera internazionale con un contratto sottoscritto di 50 mq ed un contratto di fornitura di servizi di marketing da parte di un professionista per n. 2 giorni con l’applicazione di bonus tematico e di mercato geografico.</w:t>
      </w:r>
    </w:p>
    <w:p w14:paraId="2FDD2CF9" w14:textId="77777777" w:rsidR="00801F4F" w:rsidRPr="00801F4F" w:rsidRDefault="00801F4F" w:rsidP="00801F4F">
      <w:pPr>
        <w:rPr>
          <w:i/>
          <w:iCs/>
          <w:sz w:val="6"/>
          <w:szCs w:val="6"/>
        </w:rPr>
      </w:pPr>
    </w:p>
    <w:tbl>
      <w:tblPr>
        <w:tblW w:w="9706" w:type="dxa"/>
        <w:tblInd w:w="60" w:type="dxa"/>
        <w:tbl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insideH w:val="single" w:sz="8" w:space="0" w:color="525252" w:themeColor="accent3" w:themeShade="80"/>
          <w:insideV w:val="single" w:sz="8" w:space="0" w:color="525252" w:themeColor="accent3" w:themeShade="80"/>
        </w:tblBorders>
        <w:tblCellMar>
          <w:left w:w="70" w:type="dxa"/>
          <w:right w:w="70" w:type="dxa"/>
        </w:tblCellMar>
        <w:tblLook w:val="04A0" w:firstRow="1" w:lastRow="0" w:firstColumn="1" w:lastColumn="0" w:noHBand="0" w:noVBand="1"/>
      </w:tblPr>
      <w:tblGrid>
        <w:gridCol w:w="1106"/>
        <w:gridCol w:w="913"/>
        <w:gridCol w:w="1102"/>
        <w:gridCol w:w="913"/>
        <w:gridCol w:w="913"/>
        <w:gridCol w:w="1111"/>
        <w:gridCol w:w="1142"/>
        <w:gridCol w:w="823"/>
        <w:gridCol w:w="824"/>
        <w:gridCol w:w="859"/>
      </w:tblGrid>
      <w:tr w:rsidR="00801F4F" w:rsidRPr="001F5BF6" w14:paraId="385E08CE" w14:textId="77777777" w:rsidTr="00FA0EEC">
        <w:trPr>
          <w:trHeight w:val="785"/>
        </w:trPr>
        <w:tc>
          <w:tcPr>
            <w:tcW w:w="1105" w:type="dxa"/>
            <w:tcBorders>
              <w:top w:val="single" w:sz="8" w:space="0" w:color="525252" w:themeColor="accent3" w:themeShade="80"/>
              <w:left w:val="single" w:sz="8" w:space="0" w:color="525252" w:themeColor="accent3" w:themeShade="80"/>
              <w:bottom w:val="single" w:sz="8" w:space="0" w:color="525252" w:themeColor="accent3" w:themeShade="80"/>
              <w:right w:val="nil"/>
            </w:tcBorders>
            <w:shd w:val="clear" w:color="auto" w:fill="2F5496" w:themeFill="accent1" w:themeFillShade="BF"/>
            <w:noWrap/>
            <w:vAlign w:val="center"/>
            <w:hideMark/>
          </w:tcPr>
          <w:p w14:paraId="5313112A"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Tipologia costi</w:t>
            </w:r>
          </w:p>
        </w:tc>
        <w:tc>
          <w:tcPr>
            <w:tcW w:w="913"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vAlign w:val="center"/>
            <w:hideMark/>
          </w:tcPr>
          <w:p w14:paraId="1D8667C1"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Attività Avviso</w:t>
            </w:r>
          </w:p>
        </w:tc>
        <w:tc>
          <w:tcPr>
            <w:tcW w:w="1081"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noWrap/>
            <w:vAlign w:val="center"/>
            <w:hideMark/>
          </w:tcPr>
          <w:p w14:paraId="48471561"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Tipologia attività</w:t>
            </w:r>
          </w:p>
        </w:tc>
        <w:tc>
          <w:tcPr>
            <w:tcW w:w="913"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noWrap/>
            <w:vAlign w:val="center"/>
            <w:hideMark/>
          </w:tcPr>
          <w:p w14:paraId="6A0C01E7"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Costo/mq</w:t>
            </w:r>
          </w:p>
        </w:tc>
        <w:tc>
          <w:tcPr>
            <w:tcW w:w="913"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vAlign w:val="center"/>
            <w:hideMark/>
          </w:tcPr>
          <w:p w14:paraId="69B1E8B0"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Valore richiesto</w:t>
            </w:r>
          </w:p>
        </w:tc>
        <w:tc>
          <w:tcPr>
            <w:tcW w:w="1077"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vAlign w:val="center"/>
            <w:hideMark/>
          </w:tcPr>
          <w:p w14:paraId="693885BF"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unità di misura</w:t>
            </w:r>
          </w:p>
        </w:tc>
        <w:tc>
          <w:tcPr>
            <w:tcW w:w="1142"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noWrap/>
            <w:vAlign w:val="center"/>
            <w:hideMark/>
          </w:tcPr>
          <w:p w14:paraId="386FDA1C"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valore in €</w:t>
            </w:r>
          </w:p>
        </w:tc>
        <w:tc>
          <w:tcPr>
            <w:tcW w:w="844" w:type="dxa"/>
            <w:tcBorders>
              <w:top w:val="single" w:sz="8" w:space="0" w:color="525252" w:themeColor="accent3" w:themeShade="80"/>
              <w:left w:val="nil"/>
              <w:right w:val="nil"/>
            </w:tcBorders>
            <w:shd w:val="clear" w:color="auto" w:fill="2F5496" w:themeFill="accent1" w:themeFillShade="BF"/>
            <w:vAlign w:val="center"/>
            <w:hideMark/>
          </w:tcPr>
          <w:p w14:paraId="360F4953"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Bonus settore</w:t>
            </w:r>
          </w:p>
          <w:p w14:paraId="037CD73D"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8"/>
                <w:szCs w:val="18"/>
              </w:rPr>
              <w:t>+3%</w:t>
            </w:r>
          </w:p>
        </w:tc>
        <w:tc>
          <w:tcPr>
            <w:tcW w:w="845" w:type="dxa"/>
            <w:tcBorders>
              <w:top w:val="single" w:sz="8" w:space="0" w:color="525252" w:themeColor="accent3" w:themeShade="80"/>
              <w:left w:val="nil"/>
              <w:right w:val="nil"/>
            </w:tcBorders>
            <w:shd w:val="clear" w:color="auto" w:fill="2F5496" w:themeFill="accent1" w:themeFillShade="BF"/>
            <w:vAlign w:val="center"/>
            <w:hideMark/>
          </w:tcPr>
          <w:p w14:paraId="6759E9B8"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Bonus mercato</w:t>
            </w:r>
          </w:p>
          <w:p w14:paraId="7F681846"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8"/>
                <w:szCs w:val="18"/>
              </w:rPr>
              <w:t>+3%</w:t>
            </w:r>
          </w:p>
        </w:tc>
        <w:tc>
          <w:tcPr>
            <w:tcW w:w="871" w:type="dxa"/>
            <w:tcBorders>
              <w:top w:val="single" w:sz="8" w:space="0" w:color="525252" w:themeColor="accent3" w:themeShade="80"/>
              <w:left w:val="nil"/>
              <w:bottom w:val="single" w:sz="8" w:space="0" w:color="525252" w:themeColor="accent3" w:themeShade="80"/>
              <w:right w:val="single" w:sz="8" w:space="0" w:color="525252" w:themeColor="accent3" w:themeShade="80"/>
            </w:tcBorders>
            <w:shd w:val="clear" w:color="auto" w:fill="2F5496" w:themeFill="accent1" w:themeFillShade="BF"/>
            <w:vAlign w:val="center"/>
            <w:hideMark/>
          </w:tcPr>
          <w:p w14:paraId="57782CDD" w14:textId="77777777" w:rsidR="00801F4F" w:rsidRPr="001F5BF6" w:rsidRDefault="00801F4F" w:rsidP="00FA0EEC">
            <w:pPr>
              <w:jc w:val="center"/>
              <w:rPr>
                <w:rFonts w:cs="Calibri"/>
                <w:b/>
                <w:bCs/>
                <w:color w:val="FFFFFF" w:themeColor="background1"/>
                <w:sz w:val="16"/>
                <w:szCs w:val="16"/>
              </w:rPr>
            </w:pPr>
            <w:r w:rsidRPr="001F5BF6">
              <w:rPr>
                <w:rFonts w:cs="Calibri"/>
                <w:b/>
                <w:bCs/>
                <w:color w:val="FFFFFF" w:themeColor="background1"/>
                <w:sz w:val="16"/>
                <w:szCs w:val="16"/>
              </w:rPr>
              <w:t>Totale</w:t>
            </w:r>
          </w:p>
        </w:tc>
      </w:tr>
      <w:tr w:rsidR="00801F4F" w:rsidRPr="001F5BF6" w14:paraId="5C0C278A" w14:textId="77777777" w:rsidTr="00FA0EEC">
        <w:trPr>
          <w:trHeight w:val="294"/>
        </w:trPr>
        <w:tc>
          <w:tcPr>
            <w:tcW w:w="1105" w:type="dxa"/>
            <w:vMerge w:val="restart"/>
            <w:shd w:val="clear" w:color="auto" w:fill="auto"/>
            <w:noWrap/>
            <w:vAlign w:val="center"/>
            <w:hideMark/>
          </w:tcPr>
          <w:p w14:paraId="0A849D9B" w14:textId="77777777" w:rsidR="00801F4F" w:rsidRPr="001F5BF6" w:rsidRDefault="00801F4F" w:rsidP="00FA0EEC">
            <w:pPr>
              <w:rPr>
                <w:rFonts w:cs="Calibri"/>
                <w:b/>
                <w:bCs/>
                <w:color w:val="000000"/>
                <w:sz w:val="16"/>
                <w:szCs w:val="16"/>
              </w:rPr>
            </w:pPr>
            <w:r w:rsidRPr="001F5BF6">
              <w:rPr>
                <w:rFonts w:cs="Calibri"/>
                <w:b/>
                <w:bCs/>
                <w:color w:val="000000"/>
                <w:sz w:val="16"/>
                <w:szCs w:val="16"/>
              </w:rPr>
              <w:t>Costi diretti</w:t>
            </w:r>
          </w:p>
        </w:tc>
        <w:tc>
          <w:tcPr>
            <w:tcW w:w="913" w:type="dxa"/>
            <w:tcBorders>
              <w:bottom w:val="single" w:sz="8" w:space="0" w:color="525252" w:themeColor="accent3" w:themeShade="80"/>
              <w:right w:val="nil"/>
            </w:tcBorders>
            <w:shd w:val="clear" w:color="auto" w:fill="auto"/>
            <w:vAlign w:val="center"/>
            <w:hideMark/>
          </w:tcPr>
          <w:p w14:paraId="1C9F03D3" w14:textId="77777777" w:rsidR="00801F4F" w:rsidRPr="001F5BF6" w:rsidRDefault="00801F4F" w:rsidP="00FA0EEC">
            <w:pPr>
              <w:jc w:val="center"/>
              <w:rPr>
                <w:rFonts w:cs="Calibri"/>
                <w:color w:val="000000"/>
                <w:sz w:val="16"/>
                <w:szCs w:val="16"/>
              </w:rPr>
            </w:pPr>
            <w:r w:rsidRPr="001F5BF6">
              <w:rPr>
                <w:rFonts w:cs="Calibri"/>
                <w:color w:val="000000"/>
                <w:sz w:val="16"/>
                <w:szCs w:val="16"/>
              </w:rPr>
              <w:t>A1</w:t>
            </w:r>
          </w:p>
        </w:tc>
        <w:tc>
          <w:tcPr>
            <w:tcW w:w="1081" w:type="dxa"/>
            <w:tcBorders>
              <w:left w:val="nil"/>
              <w:bottom w:val="single" w:sz="8" w:space="0" w:color="525252" w:themeColor="accent3" w:themeShade="80"/>
              <w:right w:val="nil"/>
            </w:tcBorders>
            <w:shd w:val="clear" w:color="auto" w:fill="auto"/>
            <w:noWrap/>
            <w:vAlign w:val="center"/>
            <w:hideMark/>
          </w:tcPr>
          <w:p w14:paraId="1B627831" w14:textId="77777777" w:rsidR="00801F4F" w:rsidRPr="001F5BF6" w:rsidRDefault="00801F4F" w:rsidP="00FA0EEC">
            <w:pPr>
              <w:jc w:val="center"/>
              <w:rPr>
                <w:rFonts w:cs="Calibri"/>
                <w:color w:val="000000"/>
                <w:sz w:val="16"/>
                <w:szCs w:val="16"/>
              </w:rPr>
            </w:pPr>
            <w:r w:rsidRPr="001F5BF6">
              <w:rPr>
                <w:rFonts w:cs="Calibri"/>
                <w:color w:val="000000"/>
                <w:sz w:val="16"/>
                <w:szCs w:val="16"/>
              </w:rPr>
              <w:t>Partecipazione fiere</w:t>
            </w:r>
          </w:p>
        </w:tc>
        <w:tc>
          <w:tcPr>
            <w:tcW w:w="913" w:type="dxa"/>
            <w:tcBorders>
              <w:left w:val="nil"/>
              <w:bottom w:val="single" w:sz="8" w:space="0" w:color="525252" w:themeColor="accent3" w:themeShade="80"/>
              <w:right w:val="nil"/>
            </w:tcBorders>
            <w:shd w:val="clear" w:color="auto" w:fill="auto"/>
            <w:noWrap/>
            <w:vAlign w:val="center"/>
            <w:hideMark/>
          </w:tcPr>
          <w:p w14:paraId="2BA9AEAB" w14:textId="77777777" w:rsidR="00801F4F" w:rsidRPr="001F5BF6" w:rsidRDefault="00801F4F" w:rsidP="00FA0EEC">
            <w:pPr>
              <w:jc w:val="right"/>
              <w:rPr>
                <w:rFonts w:cs="Calibri"/>
                <w:color w:val="000000"/>
                <w:sz w:val="16"/>
                <w:szCs w:val="16"/>
              </w:rPr>
            </w:pPr>
            <w:r w:rsidRPr="001F5BF6">
              <w:rPr>
                <w:rFonts w:cs="Calibri"/>
                <w:color w:val="000000"/>
                <w:sz w:val="16"/>
                <w:szCs w:val="16"/>
              </w:rPr>
              <w:t>720,00</w:t>
            </w:r>
          </w:p>
        </w:tc>
        <w:tc>
          <w:tcPr>
            <w:tcW w:w="913" w:type="dxa"/>
            <w:tcBorders>
              <w:left w:val="nil"/>
              <w:bottom w:val="single" w:sz="8" w:space="0" w:color="525252" w:themeColor="accent3" w:themeShade="80"/>
              <w:right w:val="nil"/>
            </w:tcBorders>
            <w:shd w:val="clear" w:color="auto" w:fill="auto"/>
            <w:noWrap/>
            <w:vAlign w:val="center"/>
            <w:hideMark/>
          </w:tcPr>
          <w:p w14:paraId="279E98CF" w14:textId="77777777" w:rsidR="00801F4F" w:rsidRPr="001F5BF6" w:rsidRDefault="00801F4F" w:rsidP="00FA0EEC">
            <w:pPr>
              <w:jc w:val="center"/>
              <w:rPr>
                <w:rFonts w:cs="Calibri"/>
                <w:color w:val="000000"/>
                <w:sz w:val="16"/>
                <w:szCs w:val="16"/>
              </w:rPr>
            </w:pPr>
            <w:r w:rsidRPr="001F5BF6">
              <w:rPr>
                <w:rFonts w:cs="Calibri"/>
                <w:color w:val="000000"/>
                <w:sz w:val="16"/>
                <w:szCs w:val="16"/>
              </w:rPr>
              <w:t>50</w:t>
            </w:r>
          </w:p>
        </w:tc>
        <w:tc>
          <w:tcPr>
            <w:tcW w:w="1077" w:type="dxa"/>
            <w:tcBorders>
              <w:left w:val="nil"/>
              <w:bottom w:val="single" w:sz="8" w:space="0" w:color="525252" w:themeColor="accent3" w:themeShade="80"/>
              <w:right w:val="nil"/>
            </w:tcBorders>
            <w:shd w:val="clear" w:color="auto" w:fill="auto"/>
            <w:vAlign w:val="center"/>
            <w:hideMark/>
          </w:tcPr>
          <w:p w14:paraId="0A590A01" w14:textId="77777777" w:rsidR="00801F4F" w:rsidRPr="001F5BF6" w:rsidRDefault="00801F4F" w:rsidP="00FA0EEC">
            <w:pPr>
              <w:jc w:val="center"/>
              <w:rPr>
                <w:rFonts w:cs="Calibri"/>
                <w:color w:val="000000"/>
                <w:sz w:val="18"/>
                <w:szCs w:val="18"/>
              </w:rPr>
            </w:pPr>
            <w:r w:rsidRPr="001F5BF6">
              <w:rPr>
                <w:rFonts w:cs="Calibri"/>
                <w:color w:val="000000"/>
                <w:sz w:val="18"/>
                <w:szCs w:val="18"/>
              </w:rPr>
              <w:t>mq</w:t>
            </w:r>
          </w:p>
        </w:tc>
        <w:tc>
          <w:tcPr>
            <w:tcW w:w="1142" w:type="dxa"/>
            <w:tcBorders>
              <w:left w:val="nil"/>
              <w:bottom w:val="single" w:sz="8" w:space="0" w:color="525252" w:themeColor="accent3" w:themeShade="80"/>
              <w:right w:val="nil"/>
            </w:tcBorders>
            <w:shd w:val="clear" w:color="auto" w:fill="auto"/>
            <w:noWrap/>
            <w:vAlign w:val="center"/>
            <w:hideMark/>
          </w:tcPr>
          <w:p w14:paraId="14E182CF"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36.000,00   </w:t>
            </w:r>
          </w:p>
        </w:tc>
        <w:tc>
          <w:tcPr>
            <w:tcW w:w="844" w:type="dxa"/>
            <w:tcBorders>
              <w:top w:val="nil"/>
              <w:left w:val="nil"/>
              <w:bottom w:val="single" w:sz="8" w:space="0" w:color="525252" w:themeColor="accent3" w:themeShade="80"/>
              <w:right w:val="nil"/>
            </w:tcBorders>
            <w:shd w:val="clear" w:color="auto" w:fill="auto"/>
            <w:vAlign w:val="center"/>
            <w:hideMark/>
          </w:tcPr>
          <w:p w14:paraId="2A640CC0" w14:textId="77777777" w:rsidR="00801F4F" w:rsidRPr="001F5BF6" w:rsidRDefault="00801F4F" w:rsidP="00FA0EEC">
            <w:pPr>
              <w:jc w:val="right"/>
              <w:rPr>
                <w:rFonts w:cs="Calibri"/>
                <w:color w:val="000000"/>
                <w:sz w:val="16"/>
                <w:szCs w:val="16"/>
              </w:rPr>
            </w:pPr>
            <w:r w:rsidRPr="001F5BF6">
              <w:rPr>
                <w:rFonts w:cs="Calibri"/>
                <w:color w:val="000000"/>
                <w:sz w:val="16"/>
                <w:szCs w:val="16"/>
              </w:rPr>
              <w:t> </w:t>
            </w:r>
          </w:p>
        </w:tc>
        <w:tc>
          <w:tcPr>
            <w:tcW w:w="845" w:type="dxa"/>
            <w:tcBorders>
              <w:top w:val="nil"/>
              <w:left w:val="nil"/>
              <w:bottom w:val="single" w:sz="8" w:space="0" w:color="525252" w:themeColor="accent3" w:themeShade="80"/>
              <w:right w:val="nil"/>
            </w:tcBorders>
            <w:shd w:val="clear" w:color="auto" w:fill="auto"/>
            <w:vAlign w:val="center"/>
            <w:hideMark/>
          </w:tcPr>
          <w:p w14:paraId="5B49FB83" w14:textId="77777777" w:rsidR="00801F4F" w:rsidRPr="001F5BF6" w:rsidRDefault="00801F4F" w:rsidP="00FA0EEC">
            <w:pPr>
              <w:jc w:val="right"/>
              <w:rPr>
                <w:rFonts w:cs="Calibri"/>
                <w:color w:val="000000"/>
                <w:sz w:val="16"/>
                <w:szCs w:val="16"/>
              </w:rPr>
            </w:pPr>
            <w:r w:rsidRPr="001F5BF6">
              <w:rPr>
                <w:rFonts w:cs="Calibri"/>
                <w:color w:val="000000"/>
                <w:sz w:val="16"/>
                <w:szCs w:val="16"/>
              </w:rPr>
              <w:t> </w:t>
            </w:r>
          </w:p>
        </w:tc>
        <w:tc>
          <w:tcPr>
            <w:tcW w:w="871" w:type="dxa"/>
            <w:tcBorders>
              <w:left w:val="nil"/>
              <w:bottom w:val="single" w:sz="8" w:space="0" w:color="525252" w:themeColor="accent3" w:themeShade="80"/>
            </w:tcBorders>
            <w:shd w:val="clear" w:color="auto" w:fill="auto"/>
            <w:vAlign w:val="center"/>
            <w:hideMark/>
          </w:tcPr>
          <w:p w14:paraId="4042C1A8"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36.000,00   </w:t>
            </w:r>
          </w:p>
        </w:tc>
      </w:tr>
      <w:tr w:rsidR="00801F4F" w:rsidRPr="001F5BF6" w14:paraId="066AC055" w14:textId="77777777" w:rsidTr="00FA0EEC">
        <w:trPr>
          <w:trHeight w:val="294"/>
        </w:trPr>
        <w:tc>
          <w:tcPr>
            <w:tcW w:w="1105" w:type="dxa"/>
            <w:vMerge/>
            <w:tcBorders>
              <w:bottom w:val="single" w:sz="8" w:space="0" w:color="525252" w:themeColor="accent3" w:themeShade="80"/>
            </w:tcBorders>
            <w:vAlign w:val="center"/>
            <w:hideMark/>
          </w:tcPr>
          <w:p w14:paraId="5955CD58" w14:textId="77777777" w:rsidR="00801F4F" w:rsidRPr="001F5BF6" w:rsidRDefault="00801F4F" w:rsidP="00FA0EEC">
            <w:pPr>
              <w:rPr>
                <w:rFonts w:cs="Calibri"/>
                <w:b/>
                <w:bCs/>
                <w:color w:val="000000"/>
                <w:sz w:val="16"/>
                <w:szCs w:val="16"/>
              </w:rPr>
            </w:pPr>
          </w:p>
        </w:tc>
        <w:tc>
          <w:tcPr>
            <w:tcW w:w="913" w:type="dxa"/>
            <w:tcBorders>
              <w:bottom w:val="single" w:sz="8" w:space="0" w:color="525252" w:themeColor="accent3" w:themeShade="80"/>
              <w:right w:val="nil"/>
            </w:tcBorders>
            <w:shd w:val="clear" w:color="auto" w:fill="auto"/>
            <w:vAlign w:val="center"/>
            <w:hideMark/>
          </w:tcPr>
          <w:p w14:paraId="4BB39E9B" w14:textId="77777777" w:rsidR="00801F4F" w:rsidRPr="001F5BF6" w:rsidRDefault="00801F4F" w:rsidP="00FA0EEC">
            <w:pPr>
              <w:jc w:val="center"/>
              <w:rPr>
                <w:rFonts w:cs="Calibri"/>
                <w:color w:val="000000"/>
                <w:sz w:val="16"/>
                <w:szCs w:val="16"/>
              </w:rPr>
            </w:pPr>
            <w:r w:rsidRPr="001F5BF6">
              <w:rPr>
                <w:rFonts w:cs="Calibri"/>
                <w:color w:val="000000"/>
                <w:sz w:val="16"/>
                <w:szCs w:val="16"/>
              </w:rPr>
              <w:t>B</w:t>
            </w:r>
          </w:p>
        </w:tc>
        <w:tc>
          <w:tcPr>
            <w:tcW w:w="1081" w:type="dxa"/>
            <w:tcBorders>
              <w:left w:val="nil"/>
              <w:bottom w:val="single" w:sz="8" w:space="0" w:color="525252" w:themeColor="accent3" w:themeShade="80"/>
              <w:right w:val="nil"/>
            </w:tcBorders>
            <w:shd w:val="clear" w:color="auto" w:fill="auto"/>
            <w:noWrap/>
            <w:vAlign w:val="center"/>
            <w:hideMark/>
          </w:tcPr>
          <w:p w14:paraId="44D880E4" w14:textId="77777777" w:rsidR="00801F4F" w:rsidRPr="001F5BF6" w:rsidRDefault="00801F4F" w:rsidP="00FA0EEC">
            <w:pPr>
              <w:jc w:val="center"/>
              <w:rPr>
                <w:rFonts w:cs="Calibri"/>
                <w:color w:val="000000"/>
                <w:sz w:val="16"/>
                <w:szCs w:val="16"/>
              </w:rPr>
            </w:pPr>
            <w:r w:rsidRPr="001F5BF6">
              <w:rPr>
                <w:rFonts w:cs="Calibri"/>
                <w:color w:val="000000"/>
                <w:sz w:val="16"/>
                <w:szCs w:val="16"/>
              </w:rPr>
              <w:t>Marketing</w:t>
            </w:r>
          </w:p>
        </w:tc>
        <w:tc>
          <w:tcPr>
            <w:tcW w:w="913" w:type="dxa"/>
            <w:tcBorders>
              <w:left w:val="nil"/>
              <w:bottom w:val="single" w:sz="8" w:space="0" w:color="525252" w:themeColor="accent3" w:themeShade="80"/>
              <w:right w:val="nil"/>
            </w:tcBorders>
            <w:shd w:val="clear" w:color="auto" w:fill="auto"/>
            <w:noWrap/>
            <w:vAlign w:val="center"/>
            <w:hideMark/>
          </w:tcPr>
          <w:p w14:paraId="40D589D6" w14:textId="77777777" w:rsidR="00801F4F" w:rsidRPr="001F5BF6" w:rsidRDefault="00801F4F" w:rsidP="00FA0EEC">
            <w:pPr>
              <w:jc w:val="right"/>
              <w:rPr>
                <w:rFonts w:cs="Calibri"/>
                <w:color w:val="000000"/>
                <w:sz w:val="16"/>
                <w:szCs w:val="16"/>
              </w:rPr>
            </w:pPr>
            <w:r w:rsidRPr="001F5BF6">
              <w:rPr>
                <w:rFonts w:cs="Calibri"/>
                <w:color w:val="000000"/>
                <w:sz w:val="16"/>
                <w:szCs w:val="16"/>
              </w:rPr>
              <w:t>390,00</w:t>
            </w:r>
          </w:p>
        </w:tc>
        <w:tc>
          <w:tcPr>
            <w:tcW w:w="913" w:type="dxa"/>
            <w:tcBorders>
              <w:left w:val="nil"/>
              <w:bottom w:val="single" w:sz="8" w:space="0" w:color="525252" w:themeColor="accent3" w:themeShade="80"/>
              <w:right w:val="nil"/>
            </w:tcBorders>
            <w:shd w:val="clear" w:color="auto" w:fill="auto"/>
            <w:noWrap/>
            <w:vAlign w:val="center"/>
            <w:hideMark/>
          </w:tcPr>
          <w:p w14:paraId="5B15BCDE" w14:textId="77777777" w:rsidR="00801F4F" w:rsidRPr="001F5BF6" w:rsidRDefault="00801F4F" w:rsidP="00FA0EEC">
            <w:pPr>
              <w:jc w:val="center"/>
              <w:rPr>
                <w:rFonts w:cs="Calibri"/>
                <w:color w:val="000000"/>
                <w:sz w:val="16"/>
                <w:szCs w:val="16"/>
              </w:rPr>
            </w:pPr>
            <w:r w:rsidRPr="001F5BF6">
              <w:rPr>
                <w:rFonts w:cs="Calibri"/>
                <w:color w:val="000000"/>
                <w:sz w:val="16"/>
                <w:szCs w:val="16"/>
              </w:rPr>
              <w:t>2</w:t>
            </w:r>
          </w:p>
        </w:tc>
        <w:tc>
          <w:tcPr>
            <w:tcW w:w="1077" w:type="dxa"/>
            <w:tcBorders>
              <w:left w:val="nil"/>
              <w:bottom w:val="single" w:sz="8" w:space="0" w:color="525252" w:themeColor="accent3" w:themeShade="80"/>
              <w:right w:val="nil"/>
            </w:tcBorders>
            <w:shd w:val="clear" w:color="auto" w:fill="auto"/>
            <w:vAlign w:val="center"/>
            <w:hideMark/>
          </w:tcPr>
          <w:p w14:paraId="6BFB8097" w14:textId="77777777" w:rsidR="00801F4F" w:rsidRPr="001F5BF6" w:rsidRDefault="00801F4F" w:rsidP="00FA0EEC">
            <w:pPr>
              <w:jc w:val="center"/>
              <w:rPr>
                <w:rFonts w:cs="Calibri"/>
                <w:color w:val="000000"/>
                <w:sz w:val="18"/>
                <w:szCs w:val="18"/>
              </w:rPr>
            </w:pPr>
            <w:r w:rsidRPr="001F5BF6">
              <w:rPr>
                <w:rFonts w:cs="Calibri"/>
                <w:color w:val="000000"/>
                <w:sz w:val="18"/>
                <w:szCs w:val="18"/>
              </w:rPr>
              <w:t>giorno/uomo</w:t>
            </w:r>
          </w:p>
        </w:tc>
        <w:tc>
          <w:tcPr>
            <w:tcW w:w="1142" w:type="dxa"/>
            <w:tcBorders>
              <w:left w:val="nil"/>
              <w:bottom w:val="single" w:sz="8" w:space="0" w:color="525252" w:themeColor="accent3" w:themeShade="80"/>
              <w:right w:val="nil"/>
            </w:tcBorders>
            <w:shd w:val="clear" w:color="auto" w:fill="auto"/>
            <w:noWrap/>
            <w:vAlign w:val="center"/>
            <w:hideMark/>
          </w:tcPr>
          <w:p w14:paraId="2A8108EF"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780,00   </w:t>
            </w:r>
          </w:p>
        </w:tc>
        <w:tc>
          <w:tcPr>
            <w:tcW w:w="844" w:type="dxa"/>
            <w:tcBorders>
              <w:left w:val="nil"/>
              <w:bottom w:val="single" w:sz="8" w:space="0" w:color="525252" w:themeColor="accent3" w:themeShade="80"/>
              <w:right w:val="nil"/>
            </w:tcBorders>
            <w:shd w:val="clear" w:color="auto" w:fill="auto"/>
            <w:vAlign w:val="center"/>
            <w:hideMark/>
          </w:tcPr>
          <w:p w14:paraId="334077D7" w14:textId="77777777" w:rsidR="00801F4F" w:rsidRPr="001F5BF6" w:rsidRDefault="00801F4F" w:rsidP="00FA0EEC">
            <w:pPr>
              <w:jc w:val="right"/>
              <w:rPr>
                <w:rFonts w:cs="Calibri"/>
                <w:color w:val="000000"/>
                <w:sz w:val="16"/>
                <w:szCs w:val="16"/>
              </w:rPr>
            </w:pPr>
          </w:p>
        </w:tc>
        <w:tc>
          <w:tcPr>
            <w:tcW w:w="845" w:type="dxa"/>
            <w:tcBorders>
              <w:left w:val="nil"/>
              <w:bottom w:val="single" w:sz="8" w:space="0" w:color="525252" w:themeColor="accent3" w:themeShade="80"/>
              <w:right w:val="nil"/>
            </w:tcBorders>
            <w:shd w:val="clear" w:color="auto" w:fill="auto"/>
            <w:vAlign w:val="center"/>
            <w:hideMark/>
          </w:tcPr>
          <w:p w14:paraId="4B4243BA" w14:textId="77777777" w:rsidR="00801F4F" w:rsidRPr="001F5BF6" w:rsidRDefault="00801F4F" w:rsidP="00FA0EEC">
            <w:pPr>
              <w:jc w:val="right"/>
              <w:rPr>
                <w:rFonts w:cs="Calibri"/>
                <w:color w:val="000000"/>
                <w:sz w:val="16"/>
                <w:szCs w:val="16"/>
              </w:rPr>
            </w:pPr>
          </w:p>
        </w:tc>
        <w:tc>
          <w:tcPr>
            <w:tcW w:w="871" w:type="dxa"/>
            <w:tcBorders>
              <w:left w:val="nil"/>
              <w:bottom w:val="single" w:sz="8" w:space="0" w:color="525252" w:themeColor="accent3" w:themeShade="80"/>
            </w:tcBorders>
            <w:shd w:val="clear" w:color="auto" w:fill="auto"/>
            <w:vAlign w:val="center"/>
            <w:hideMark/>
          </w:tcPr>
          <w:p w14:paraId="482D217E"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780,00   </w:t>
            </w:r>
          </w:p>
        </w:tc>
      </w:tr>
      <w:tr w:rsidR="00801F4F" w:rsidRPr="001F5BF6" w14:paraId="698C999B" w14:textId="77777777" w:rsidTr="00FA0EEC">
        <w:trPr>
          <w:trHeight w:val="412"/>
        </w:trPr>
        <w:tc>
          <w:tcPr>
            <w:tcW w:w="2018" w:type="dxa"/>
            <w:gridSpan w:val="2"/>
            <w:tcBorders>
              <w:bottom w:val="single" w:sz="8" w:space="0" w:color="525252" w:themeColor="accent3" w:themeShade="80"/>
              <w:right w:val="nil"/>
            </w:tcBorders>
            <w:shd w:val="clear" w:color="auto" w:fill="auto"/>
            <w:vAlign w:val="center"/>
            <w:hideMark/>
          </w:tcPr>
          <w:p w14:paraId="48614363" w14:textId="77777777" w:rsidR="00801F4F" w:rsidRPr="001F5BF6" w:rsidRDefault="00801F4F" w:rsidP="00FA0EEC">
            <w:pPr>
              <w:rPr>
                <w:rFonts w:cs="Calibri"/>
                <w:b/>
                <w:bCs/>
                <w:color w:val="000000"/>
                <w:sz w:val="16"/>
                <w:szCs w:val="16"/>
              </w:rPr>
            </w:pPr>
            <w:r w:rsidRPr="001F5BF6">
              <w:rPr>
                <w:rFonts w:cs="Calibri"/>
                <w:b/>
                <w:bCs/>
                <w:color w:val="000000"/>
                <w:sz w:val="16"/>
                <w:szCs w:val="16"/>
              </w:rPr>
              <w:t>Totale costi diretti</w:t>
            </w:r>
          </w:p>
        </w:tc>
        <w:tc>
          <w:tcPr>
            <w:tcW w:w="1081" w:type="dxa"/>
            <w:tcBorders>
              <w:left w:val="nil"/>
              <w:bottom w:val="single" w:sz="8" w:space="0" w:color="525252" w:themeColor="accent3" w:themeShade="80"/>
              <w:right w:val="nil"/>
            </w:tcBorders>
            <w:shd w:val="clear" w:color="auto" w:fill="auto"/>
            <w:noWrap/>
            <w:vAlign w:val="center"/>
            <w:hideMark/>
          </w:tcPr>
          <w:p w14:paraId="566303E1" w14:textId="77777777" w:rsidR="00801F4F" w:rsidRPr="001F5BF6" w:rsidRDefault="00801F4F" w:rsidP="00FA0EEC">
            <w:pPr>
              <w:rPr>
                <w:rFonts w:cs="Calibri"/>
                <w:color w:val="000000"/>
                <w:sz w:val="16"/>
                <w:szCs w:val="16"/>
              </w:rPr>
            </w:pPr>
            <w:r w:rsidRPr="001F5BF6">
              <w:rPr>
                <w:rFonts w:cs="Calibri"/>
                <w:color w:val="000000"/>
                <w:sz w:val="16"/>
                <w:szCs w:val="16"/>
              </w:rPr>
              <w:t> </w:t>
            </w:r>
          </w:p>
        </w:tc>
        <w:tc>
          <w:tcPr>
            <w:tcW w:w="913" w:type="dxa"/>
            <w:tcBorders>
              <w:left w:val="nil"/>
              <w:bottom w:val="single" w:sz="8" w:space="0" w:color="525252" w:themeColor="accent3" w:themeShade="80"/>
              <w:right w:val="nil"/>
            </w:tcBorders>
            <w:shd w:val="clear" w:color="auto" w:fill="auto"/>
            <w:noWrap/>
            <w:vAlign w:val="center"/>
            <w:hideMark/>
          </w:tcPr>
          <w:p w14:paraId="2F98C38E" w14:textId="77777777" w:rsidR="00801F4F" w:rsidRPr="001F5BF6" w:rsidRDefault="00801F4F" w:rsidP="00FA0EEC">
            <w:pPr>
              <w:rPr>
                <w:rFonts w:cs="Calibri"/>
                <w:color w:val="000000"/>
                <w:sz w:val="16"/>
                <w:szCs w:val="16"/>
              </w:rPr>
            </w:pPr>
            <w:r w:rsidRPr="001F5BF6">
              <w:rPr>
                <w:rFonts w:cs="Calibri"/>
                <w:color w:val="000000"/>
                <w:sz w:val="16"/>
                <w:szCs w:val="16"/>
              </w:rPr>
              <w:t> </w:t>
            </w:r>
          </w:p>
        </w:tc>
        <w:tc>
          <w:tcPr>
            <w:tcW w:w="913" w:type="dxa"/>
            <w:tcBorders>
              <w:left w:val="nil"/>
              <w:bottom w:val="single" w:sz="8" w:space="0" w:color="525252" w:themeColor="accent3" w:themeShade="80"/>
              <w:right w:val="nil"/>
            </w:tcBorders>
            <w:shd w:val="clear" w:color="auto" w:fill="auto"/>
            <w:noWrap/>
            <w:vAlign w:val="center"/>
            <w:hideMark/>
          </w:tcPr>
          <w:p w14:paraId="1292D8E2" w14:textId="77777777" w:rsidR="00801F4F" w:rsidRPr="001F5BF6" w:rsidRDefault="00801F4F" w:rsidP="00FA0EEC">
            <w:pPr>
              <w:rPr>
                <w:rFonts w:cs="Calibri"/>
                <w:color w:val="000000"/>
              </w:rPr>
            </w:pPr>
            <w:r w:rsidRPr="001F5BF6">
              <w:rPr>
                <w:rFonts w:cs="Calibri"/>
                <w:color w:val="000000"/>
              </w:rPr>
              <w:t> </w:t>
            </w:r>
          </w:p>
        </w:tc>
        <w:tc>
          <w:tcPr>
            <w:tcW w:w="1077" w:type="dxa"/>
            <w:tcBorders>
              <w:left w:val="nil"/>
              <w:bottom w:val="single" w:sz="8" w:space="0" w:color="525252" w:themeColor="accent3" w:themeShade="80"/>
              <w:right w:val="nil"/>
            </w:tcBorders>
            <w:shd w:val="clear" w:color="auto" w:fill="auto"/>
            <w:noWrap/>
            <w:vAlign w:val="center"/>
            <w:hideMark/>
          </w:tcPr>
          <w:p w14:paraId="269715B8" w14:textId="77777777" w:rsidR="00801F4F" w:rsidRPr="001F5BF6" w:rsidRDefault="00801F4F" w:rsidP="00FA0EEC">
            <w:pPr>
              <w:rPr>
                <w:rFonts w:cs="Calibri"/>
                <w:b/>
                <w:bCs/>
                <w:color w:val="000000"/>
                <w:sz w:val="18"/>
                <w:szCs w:val="18"/>
              </w:rPr>
            </w:pPr>
            <w:r w:rsidRPr="001F5BF6">
              <w:rPr>
                <w:rFonts w:cs="Calibri"/>
                <w:b/>
                <w:bCs/>
                <w:color w:val="000000"/>
                <w:sz w:val="18"/>
                <w:szCs w:val="18"/>
              </w:rPr>
              <w:t> </w:t>
            </w:r>
          </w:p>
        </w:tc>
        <w:tc>
          <w:tcPr>
            <w:tcW w:w="1142" w:type="dxa"/>
            <w:tcBorders>
              <w:left w:val="nil"/>
              <w:bottom w:val="single" w:sz="8" w:space="0" w:color="525252" w:themeColor="accent3" w:themeShade="80"/>
              <w:right w:val="nil"/>
            </w:tcBorders>
            <w:shd w:val="clear" w:color="auto" w:fill="auto"/>
            <w:noWrap/>
            <w:vAlign w:val="center"/>
            <w:hideMark/>
          </w:tcPr>
          <w:p w14:paraId="0D28EF7D"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36.780,00   </w:t>
            </w:r>
          </w:p>
        </w:tc>
        <w:tc>
          <w:tcPr>
            <w:tcW w:w="844" w:type="dxa"/>
            <w:tcBorders>
              <w:left w:val="nil"/>
              <w:bottom w:val="single" w:sz="8" w:space="0" w:color="525252" w:themeColor="accent3" w:themeShade="80"/>
              <w:right w:val="nil"/>
            </w:tcBorders>
            <w:shd w:val="clear" w:color="auto" w:fill="auto"/>
            <w:vAlign w:val="center"/>
            <w:hideMark/>
          </w:tcPr>
          <w:p w14:paraId="7678585D" w14:textId="77777777" w:rsidR="00801F4F" w:rsidRPr="001F5BF6" w:rsidRDefault="00801F4F" w:rsidP="00FA0EEC">
            <w:pPr>
              <w:jc w:val="right"/>
              <w:rPr>
                <w:rFonts w:cs="Calibri"/>
                <w:color w:val="000000"/>
                <w:sz w:val="16"/>
                <w:szCs w:val="16"/>
              </w:rPr>
            </w:pPr>
            <w:r w:rsidRPr="001F5BF6">
              <w:rPr>
                <w:rFonts w:cs="Calibri"/>
                <w:color w:val="000000"/>
                <w:sz w:val="16"/>
                <w:szCs w:val="16"/>
              </w:rPr>
              <w:t> </w:t>
            </w:r>
          </w:p>
        </w:tc>
        <w:tc>
          <w:tcPr>
            <w:tcW w:w="845" w:type="dxa"/>
            <w:tcBorders>
              <w:left w:val="nil"/>
              <w:bottom w:val="single" w:sz="8" w:space="0" w:color="525252" w:themeColor="accent3" w:themeShade="80"/>
              <w:right w:val="nil"/>
            </w:tcBorders>
            <w:shd w:val="clear" w:color="auto" w:fill="auto"/>
            <w:vAlign w:val="center"/>
            <w:hideMark/>
          </w:tcPr>
          <w:p w14:paraId="01E2CC58" w14:textId="77777777" w:rsidR="00801F4F" w:rsidRPr="001F5BF6" w:rsidRDefault="00801F4F" w:rsidP="00FA0EEC">
            <w:pPr>
              <w:jc w:val="right"/>
              <w:rPr>
                <w:rFonts w:cs="Calibri"/>
                <w:color w:val="000000"/>
                <w:sz w:val="16"/>
                <w:szCs w:val="16"/>
              </w:rPr>
            </w:pPr>
            <w:r w:rsidRPr="001F5BF6">
              <w:rPr>
                <w:rFonts w:cs="Calibri"/>
                <w:color w:val="000000"/>
                <w:sz w:val="16"/>
                <w:szCs w:val="16"/>
              </w:rPr>
              <w:t> </w:t>
            </w:r>
          </w:p>
        </w:tc>
        <w:tc>
          <w:tcPr>
            <w:tcW w:w="871" w:type="dxa"/>
            <w:tcBorders>
              <w:left w:val="nil"/>
              <w:bottom w:val="single" w:sz="8" w:space="0" w:color="525252" w:themeColor="accent3" w:themeShade="80"/>
            </w:tcBorders>
            <w:shd w:val="clear" w:color="auto" w:fill="auto"/>
            <w:vAlign w:val="center"/>
            <w:hideMark/>
          </w:tcPr>
          <w:p w14:paraId="74C5F673"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36.780,00   </w:t>
            </w:r>
          </w:p>
        </w:tc>
      </w:tr>
      <w:tr w:rsidR="00801F4F" w:rsidRPr="001F5BF6" w14:paraId="6EB1C03E" w14:textId="77777777" w:rsidTr="00FA0EEC">
        <w:trPr>
          <w:trHeight w:val="253"/>
        </w:trPr>
        <w:tc>
          <w:tcPr>
            <w:tcW w:w="6004" w:type="dxa"/>
            <w:gridSpan w:val="6"/>
            <w:tcBorders>
              <w:bottom w:val="single" w:sz="8" w:space="0" w:color="525252" w:themeColor="accent3" w:themeShade="80"/>
              <w:right w:val="nil"/>
            </w:tcBorders>
            <w:shd w:val="clear" w:color="auto" w:fill="auto"/>
            <w:vAlign w:val="center"/>
            <w:hideMark/>
          </w:tcPr>
          <w:p w14:paraId="51EDBB94" w14:textId="77777777" w:rsidR="00801F4F" w:rsidRPr="001F5BF6" w:rsidRDefault="00801F4F" w:rsidP="00FA0EEC">
            <w:pPr>
              <w:rPr>
                <w:rFonts w:cs="Calibri"/>
                <w:b/>
                <w:bCs/>
                <w:color w:val="000000"/>
                <w:sz w:val="16"/>
                <w:szCs w:val="16"/>
              </w:rPr>
            </w:pPr>
            <w:r w:rsidRPr="001F5BF6">
              <w:rPr>
                <w:rFonts w:cs="Calibri"/>
                <w:b/>
                <w:bCs/>
                <w:color w:val="000000"/>
                <w:sz w:val="16"/>
                <w:szCs w:val="16"/>
              </w:rPr>
              <w:t>Totale costi diretti per il personale (20% dei costi diretti di spese diverse dal personale)</w:t>
            </w:r>
            <w:r w:rsidRPr="001F5BF6">
              <w:rPr>
                <w:rFonts w:cs="Calibri"/>
                <w:color w:val="000000"/>
                <w:sz w:val="16"/>
                <w:szCs w:val="16"/>
              </w:rPr>
              <w:t> </w:t>
            </w:r>
          </w:p>
        </w:tc>
        <w:tc>
          <w:tcPr>
            <w:tcW w:w="1142" w:type="dxa"/>
            <w:tcBorders>
              <w:left w:val="nil"/>
              <w:bottom w:val="single" w:sz="8" w:space="0" w:color="525252" w:themeColor="accent3" w:themeShade="80"/>
              <w:right w:val="nil"/>
            </w:tcBorders>
            <w:shd w:val="clear" w:color="auto" w:fill="auto"/>
            <w:noWrap/>
            <w:vAlign w:val="center"/>
            <w:hideMark/>
          </w:tcPr>
          <w:p w14:paraId="284208AA"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7.356,00   </w:t>
            </w:r>
          </w:p>
        </w:tc>
        <w:tc>
          <w:tcPr>
            <w:tcW w:w="844" w:type="dxa"/>
            <w:tcBorders>
              <w:left w:val="nil"/>
              <w:bottom w:val="single" w:sz="8" w:space="0" w:color="525252" w:themeColor="accent3" w:themeShade="80"/>
              <w:right w:val="nil"/>
            </w:tcBorders>
            <w:shd w:val="clear" w:color="auto" w:fill="auto"/>
            <w:vAlign w:val="center"/>
            <w:hideMark/>
          </w:tcPr>
          <w:p w14:paraId="08532AD1" w14:textId="77777777" w:rsidR="00801F4F" w:rsidRPr="001F5BF6" w:rsidRDefault="00801F4F" w:rsidP="00FA0EEC">
            <w:pPr>
              <w:jc w:val="right"/>
              <w:rPr>
                <w:rFonts w:cs="Calibri"/>
                <w:color w:val="000000"/>
                <w:sz w:val="16"/>
                <w:szCs w:val="16"/>
              </w:rPr>
            </w:pPr>
          </w:p>
        </w:tc>
        <w:tc>
          <w:tcPr>
            <w:tcW w:w="845" w:type="dxa"/>
            <w:tcBorders>
              <w:left w:val="nil"/>
              <w:bottom w:val="single" w:sz="8" w:space="0" w:color="525252" w:themeColor="accent3" w:themeShade="80"/>
              <w:right w:val="nil"/>
            </w:tcBorders>
            <w:shd w:val="clear" w:color="auto" w:fill="auto"/>
            <w:vAlign w:val="center"/>
            <w:hideMark/>
          </w:tcPr>
          <w:p w14:paraId="799E4B38" w14:textId="77777777" w:rsidR="00801F4F" w:rsidRPr="001F5BF6" w:rsidRDefault="00801F4F" w:rsidP="00FA0EEC">
            <w:pPr>
              <w:jc w:val="right"/>
              <w:rPr>
                <w:rFonts w:cs="Calibri"/>
                <w:color w:val="000000"/>
                <w:sz w:val="16"/>
                <w:szCs w:val="16"/>
              </w:rPr>
            </w:pPr>
          </w:p>
        </w:tc>
        <w:tc>
          <w:tcPr>
            <w:tcW w:w="871" w:type="dxa"/>
            <w:tcBorders>
              <w:left w:val="nil"/>
              <w:bottom w:val="single" w:sz="8" w:space="0" w:color="525252" w:themeColor="accent3" w:themeShade="80"/>
            </w:tcBorders>
            <w:shd w:val="clear" w:color="auto" w:fill="auto"/>
            <w:vAlign w:val="center"/>
            <w:hideMark/>
          </w:tcPr>
          <w:p w14:paraId="48B8A57E" w14:textId="77777777" w:rsidR="00801F4F" w:rsidRPr="001F5BF6" w:rsidRDefault="00801F4F" w:rsidP="00FA0EEC">
            <w:pPr>
              <w:jc w:val="right"/>
              <w:rPr>
                <w:rFonts w:cs="Calibri"/>
                <w:color w:val="000000"/>
                <w:sz w:val="16"/>
                <w:szCs w:val="16"/>
              </w:rPr>
            </w:pPr>
            <w:r w:rsidRPr="001F5BF6">
              <w:rPr>
                <w:rFonts w:cs="Calibri"/>
                <w:color w:val="000000"/>
                <w:sz w:val="16"/>
                <w:szCs w:val="16"/>
              </w:rPr>
              <w:t> </w:t>
            </w:r>
          </w:p>
        </w:tc>
      </w:tr>
      <w:tr w:rsidR="00801F4F" w:rsidRPr="001F5BF6" w14:paraId="321B562B" w14:textId="77777777" w:rsidTr="00FA0EEC">
        <w:trPr>
          <w:trHeight w:val="294"/>
        </w:trPr>
        <w:tc>
          <w:tcPr>
            <w:tcW w:w="1105" w:type="dxa"/>
            <w:tcBorders>
              <w:bottom w:val="single" w:sz="8" w:space="0" w:color="525252" w:themeColor="accent3" w:themeShade="80"/>
              <w:right w:val="nil"/>
            </w:tcBorders>
            <w:shd w:val="clear" w:color="auto" w:fill="auto"/>
            <w:vAlign w:val="center"/>
            <w:hideMark/>
          </w:tcPr>
          <w:p w14:paraId="3428F2D3" w14:textId="77777777" w:rsidR="00801F4F" w:rsidRPr="001F5BF6" w:rsidRDefault="00801F4F" w:rsidP="00FA0EEC">
            <w:pPr>
              <w:rPr>
                <w:rFonts w:cs="Calibri"/>
                <w:b/>
                <w:bCs/>
                <w:color w:val="000000"/>
                <w:sz w:val="16"/>
                <w:szCs w:val="16"/>
              </w:rPr>
            </w:pPr>
            <w:r w:rsidRPr="001F5BF6">
              <w:rPr>
                <w:rFonts w:cs="Calibri"/>
                <w:b/>
                <w:bCs/>
                <w:color w:val="000000"/>
                <w:sz w:val="16"/>
                <w:szCs w:val="16"/>
              </w:rPr>
              <w:t>TOTALE COSTI</w:t>
            </w:r>
          </w:p>
        </w:tc>
        <w:tc>
          <w:tcPr>
            <w:tcW w:w="913" w:type="dxa"/>
            <w:tcBorders>
              <w:left w:val="nil"/>
              <w:bottom w:val="single" w:sz="8" w:space="0" w:color="525252" w:themeColor="accent3" w:themeShade="80"/>
              <w:right w:val="nil"/>
            </w:tcBorders>
            <w:shd w:val="clear" w:color="auto" w:fill="auto"/>
            <w:vAlign w:val="center"/>
            <w:hideMark/>
          </w:tcPr>
          <w:p w14:paraId="21F85C80" w14:textId="77777777" w:rsidR="00801F4F" w:rsidRPr="001F5BF6" w:rsidRDefault="00801F4F" w:rsidP="00FA0EEC">
            <w:pPr>
              <w:jc w:val="center"/>
              <w:rPr>
                <w:rFonts w:cs="Calibri"/>
                <w:color w:val="000000"/>
                <w:sz w:val="16"/>
                <w:szCs w:val="16"/>
              </w:rPr>
            </w:pPr>
          </w:p>
        </w:tc>
        <w:tc>
          <w:tcPr>
            <w:tcW w:w="1081" w:type="dxa"/>
            <w:tcBorders>
              <w:left w:val="nil"/>
              <w:bottom w:val="single" w:sz="8" w:space="0" w:color="525252" w:themeColor="accent3" w:themeShade="80"/>
              <w:right w:val="nil"/>
            </w:tcBorders>
            <w:shd w:val="clear" w:color="auto" w:fill="auto"/>
            <w:noWrap/>
            <w:vAlign w:val="center"/>
            <w:hideMark/>
          </w:tcPr>
          <w:p w14:paraId="500157CA" w14:textId="77777777" w:rsidR="00801F4F" w:rsidRPr="001F5BF6" w:rsidRDefault="00801F4F" w:rsidP="00FA0EEC">
            <w:pPr>
              <w:rPr>
                <w:rFonts w:cs="Calibri"/>
                <w:color w:val="000000"/>
                <w:sz w:val="16"/>
                <w:szCs w:val="16"/>
              </w:rPr>
            </w:pPr>
          </w:p>
        </w:tc>
        <w:tc>
          <w:tcPr>
            <w:tcW w:w="913" w:type="dxa"/>
            <w:tcBorders>
              <w:left w:val="nil"/>
              <w:bottom w:val="single" w:sz="8" w:space="0" w:color="525252" w:themeColor="accent3" w:themeShade="80"/>
              <w:right w:val="nil"/>
            </w:tcBorders>
            <w:shd w:val="clear" w:color="auto" w:fill="auto"/>
            <w:noWrap/>
            <w:vAlign w:val="center"/>
            <w:hideMark/>
          </w:tcPr>
          <w:p w14:paraId="5E91D08D" w14:textId="77777777" w:rsidR="00801F4F" w:rsidRPr="001F5BF6" w:rsidRDefault="00801F4F" w:rsidP="00FA0EEC">
            <w:pPr>
              <w:rPr>
                <w:rFonts w:cs="Calibri"/>
                <w:color w:val="000000"/>
                <w:sz w:val="16"/>
                <w:szCs w:val="16"/>
              </w:rPr>
            </w:pPr>
          </w:p>
        </w:tc>
        <w:tc>
          <w:tcPr>
            <w:tcW w:w="913" w:type="dxa"/>
            <w:tcBorders>
              <w:left w:val="nil"/>
              <w:bottom w:val="single" w:sz="8" w:space="0" w:color="525252" w:themeColor="accent3" w:themeShade="80"/>
              <w:right w:val="nil"/>
            </w:tcBorders>
            <w:shd w:val="clear" w:color="auto" w:fill="auto"/>
            <w:noWrap/>
            <w:vAlign w:val="center"/>
            <w:hideMark/>
          </w:tcPr>
          <w:p w14:paraId="1AFA87D8" w14:textId="77777777" w:rsidR="00801F4F" w:rsidRPr="001F5BF6" w:rsidRDefault="00801F4F" w:rsidP="00FA0EEC">
            <w:pPr>
              <w:rPr>
                <w:rFonts w:cs="Calibri"/>
                <w:color w:val="000000"/>
              </w:rPr>
            </w:pPr>
          </w:p>
        </w:tc>
        <w:tc>
          <w:tcPr>
            <w:tcW w:w="1077" w:type="dxa"/>
            <w:tcBorders>
              <w:left w:val="nil"/>
              <w:bottom w:val="single" w:sz="8" w:space="0" w:color="525252" w:themeColor="accent3" w:themeShade="80"/>
              <w:right w:val="nil"/>
            </w:tcBorders>
            <w:shd w:val="clear" w:color="auto" w:fill="auto"/>
            <w:noWrap/>
            <w:vAlign w:val="center"/>
            <w:hideMark/>
          </w:tcPr>
          <w:p w14:paraId="183A1C0C" w14:textId="77777777" w:rsidR="00801F4F" w:rsidRPr="001F5BF6" w:rsidRDefault="00801F4F" w:rsidP="00FA0EEC">
            <w:pPr>
              <w:rPr>
                <w:rFonts w:cs="Calibri"/>
                <w:b/>
                <w:bCs/>
                <w:color w:val="000000"/>
                <w:sz w:val="18"/>
                <w:szCs w:val="18"/>
              </w:rPr>
            </w:pPr>
          </w:p>
        </w:tc>
        <w:tc>
          <w:tcPr>
            <w:tcW w:w="1142" w:type="dxa"/>
            <w:tcBorders>
              <w:left w:val="nil"/>
              <w:bottom w:val="single" w:sz="8" w:space="0" w:color="525252" w:themeColor="accent3" w:themeShade="80"/>
              <w:right w:val="nil"/>
            </w:tcBorders>
            <w:shd w:val="clear" w:color="auto" w:fill="auto"/>
            <w:noWrap/>
            <w:vAlign w:val="center"/>
            <w:hideMark/>
          </w:tcPr>
          <w:p w14:paraId="0852C324"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44.136,00   </w:t>
            </w:r>
          </w:p>
        </w:tc>
        <w:tc>
          <w:tcPr>
            <w:tcW w:w="844" w:type="dxa"/>
            <w:tcBorders>
              <w:left w:val="nil"/>
              <w:bottom w:val="single" w:sz="8" w:space="0" w:color="525252" w:themeColor="accent3" w:themeShade="80"/>
              <w:right w:val="nil"/>
            </w:tcBorders>
            <w:shd w:val="clear" w:color="auto" w:fill="auto"/>
            <w:vAlign w:val="center"/>
            <w:hideMark/>
          </w:tcPr>
          <w:p w14:paraId="6A14FA31"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1.324,08   </w:t>
            </w:r>
          </w:p>
        </w:tc>
        <w:tc>
          <w:tcPr>
            <w:tcW w:w="845" w:type="dxa"/>
            <w:tcBorders>
              <w:left w:val="nil"/>
              <w:bottom w:val="single" w:sz="8" w:space="0" w:color="525252" w:themeColor="accent3" w:themeShade="80"/>
              <w:right w:val="nil"/>
            </w:tcBorders>
            <w:shd w:val="clear" w:color="auto" w:fill="auto"/>
            <w:vAlign w:val="center"/>
            <w:hideMark/>
          </w:tcPr>
          <w:p w14:paraId="41CF19E5" w14:textId="77777777" w:rsidR="00801F4F" w:rsidRPr="001F5BF6" w:rsidRDefault="00801F4F" w:rsidP="00FA0EEC">
            <w:pPr>
              <w:jc w:val="right"/>
              <w:rPr>
                <w:rFonts w:cs="Calibri"/>
                <w:color w:val="000000"/>
                <w:sz w:val="16"/>
                <w:szCs w:val="16"/>
              </w:rPr>
            </w:pPr>
            <w:r w:rsidRPr="001F5BF6">
              <w:rPr>
                <w:rFonts w:cs="Calibri"/>
                <w:color w:val="000000"/>
                <w:sz w:val="16"/>
                <w:szCs w:val="16"/>
              </w:rPr>
              <w:t xml:space="preserve">     1.324,08   </w:t>
            </w:r>
          </w:p>
        </w:tc>
        <w:tc>
          <w:tcPr>
            <w:tcW w:w="871" w:type="dxa"/>
            <w:tcBorders>
              <w:left w:val="nil"/>
              <w:bottom w:val="single" w:sz="8" w:space="0" w:color="525252" w:themeColor="accent3" w:themeShade="80"/>
            </w:tcBorders>
            <w:shd w:val="clear" w:color="auto" w:fill="auto"/>
            <w:vAlign w:val="center"/>
            <w:hideMark/>
          </w:tcPr>
          <w:p w14:paraId="412135D7" w14:textId="77777777" w:rsidR="00801F4F" w:rsidRPr="001F5BF6" w:rsidRDefault="00801F4F" w:rsidP="00FA0EEC">
            <w:pPr>
              <w:jc w:val="right"/>
              <w:rPr>
                <w:rFonts w:cs="Calibri"/>
                <w:b/>
                <w:bCs/>
                <w:color w:val="000000"/>
                <w:sz w:val="16"/>
                <w:szCs w:val="16"/>
              </w:rPr>
            </w:pPr>
            <w:r w:rsidRPr="001F5BF6">
              <w:rPr>
                <w:rFonts w:cs="Calibri"/>
                <w:b/>
                <w:bCs/>
                <w:color w:val="000000"/>
                <w:sz w:val="16"/>
                <w:szCs w:val="16"/>
              </w:rPr>
              <w:t xml:space="preserve">   46.784,16   </w:t>
            </w:r>
          </w:p>
        </w:tc>
      </w:tr>
      <w:tr w:rsidR="00801F4F" w:rsidRPr="001F5BF6" w14:paraId="705EFC6B" w14:textId="77777777" w:rsidTr="00FA0EEC">
        <w:trPr>
          <w:trHeight w:val="294"/>
        </w:trPr>
        <w:tc>
          <w:tcPr>
            <w:tcW w:w="2018" w:type="dxa"/>
            <w:gridSpan w:val="2"/>
            <w:tcBorders>
              <w:right w:val="nil"/>
            </w:tcBorders>
            <w:shd w:val="clear" w:color="auto" w:fill="auto"/>
            <w:noWrap/>
            <w:vAlign w:val="center"/>
            <w:hideMark/>
          </w:tcPr>
          <w:p w14:paraId="5DC57A06" w14:textId="77777777" w:rsidR="00801F4F" w:rsidRPr="001F5BF6" w:rsidRDefault="00801F4F" w:rsidP="00FA0EEC">
            <w:pPr>
              <w:rPr>
                <w:rFonts w:cs="Calibri"/>
                <w:b/>
                <w:bCs/>
                <w:color w:val="000000"/>
                <w:sz w:val="16"/>
                <w:szCs w:val="16"/>
              </w:rPr>
            </w:pPr>
            <w:r w:rsidRPr="001F5BF6">
              <w:rPr>
                <w:rFonts w:cs="Calibri"/>
                <w:b/>
                <w:bCs/>
                <w:color w:val="000000"/>
                <w:sz w:val="16"/>
                <w:szCs w:val="16"/>
              </w:rPr>
              <w:t>TOTALE GENERALE</w:t>
            </w:r>
          </w:p>
        </w:tc>
        <w:tc>
          <w:tcPr>
            <w:tcW w:w="1081" w:type="dxa"/>
            <w:tcBorders>
              <w:left w:val="nil"/>
              <w:right w:val="nil"/>
            </w:tcBorders>
            <w:shd w:val="clear" w:color="auto" w:fill="auto"/>
            <w:noWrap/>
            <w:vAlign w:val="center"/>
            <w:hideMark/>
          </w:tcPr>
          <w:p w14:paraId="7BE7202D" w14:textId="77777777" w:rsidR="00801F4F" w:rsidRPr="001F5BF6" w:rsidRDefault="00801F4F" w:rsidP="00FA0EEC">
            <w:pPr>
              <w:rPr>
                <w:rFonts w:cs="Calibri"/>
                <w:b/>
                <w:bCs/>
                <w:color w:val="000000"/>
                <w:sz w:val="16"/>
                <w:szCs w:val="16"/>
              </w:rPr>
            </w:pPr>
            <w:r w:rsidRPr="001F5BF6">
              <w:rPr>
                <w:rFonts w:cs="Calibri"/>
                <w:b/>
                <w:bCs/>
                <w:color w:val="000000"/>
                <w:sz w:val="16"/>
                <w:szCs w:val="16"/>
              </w:rPr>
              <w:t> </w:t>
            </w:r>
          </w:p>
        </w:tc>
        <w:tc>
          <w:tcPr>
            <w:tcW w:w="913" w:type="dxa"/>
            <w:tcBorders>
              <w:left w:val="nil"/>
              <w:right w:val="nil"/>
            </w:tcBorders>
            <w:shd w:val="clear" w:color="auto" w:fill="auto"/>
            <w:noWrap/>
            <w:vAlign w:val="center"/>
            <w:hideMark/>
          </w:tcPr>
          <w:p w14:paraId="6CCA630B" w14:textId="77777777" w:rsidR="00801F4F" w:rsidRPr="001F5BF6" w:rsidRDefault="00801F4F" w:rsidP="00FA0EEC">
            <w:pPr>
              <w:rPr>
                <w:rFonts w:cs="Calibri"/>
                <w:b/>
                <w:bCs/>
                <w:color w:val="000000"/>
                <w:sz w:val="16"/>
                <w:szCs w:val="16"/>
              </w:rPr>
            </w:pPr>
            <w:r w:rsidRPr="001F5BF6">
              <w:rPr>
                <w:rFonts w:cs="Calibri"/>
                <w:b/>
                <w:bCs/>
                <w:color w:val="000000"/>
                <w:sz w:val="16"/>
                <w:szCs w:val="16"/>
              </w:rPr>
              <w:t> </w:t>
            </w:r>
          </w:p>
        </w:tc>
        <w:tc>
          <w:tcPr>
            <w:tcW w:w="913" w:type="dxa"/>
            <w:tcBorders>
              <w:left w:val="nil"/>
              <w:right w:val="nil"/>
            </w:tcBorders>
            <w:shd w:val="clear" w:color="auto" w:fill="auto"/>
            <w:noWrap/>
            <w:vAlign w:val="center"/>
            <w:hideMark/>
          </w:tcPr>
          <w:p w14:paraId="2B469136" w14:textId="77777777" w:rsidR="00801F4F" w:rsidRPr="001F5BF6" w:rsidRDefault="00801F4F" w:rsidP="00FA0EEC">
            <w:pPr>
              <w:rPr>
                <w:rFonts w:cs="Calibri"/>
                <w:color w:val="000000"/>
              </w:rPr>
            </w:pPr>
            <w:r w:rsidRPr="001F5BF6">
              <w:rPr>
                <w:rFonts w:cs="Calibri"/>
                <w:color w:val="000000"/>
              </w:rPr>
              <w:t> </w:t>
            </w:r>
          </w:p>
        </w:tc>
        <w:tc>
          <w:tcPr>
            <w:tcW w:w="1077" w:type="dxa"/>
            <w:tcBorders>
              <w:left w:val="nil"/>
              <w:right w:val="nil"/>
            </w:tcBorders>
            <w:shd w:val="clear" w:color="auto" w:fill="auto"/>
            <w:noWrap/>
            <w:vAlign w:val="center"/>
            <w:hideMark/>
          </w:tcPr>
          <w:p w14:paraId="4D3D93F7" w14:textId="77777777" w:rsidR="00801F4F" w:rsidRPr="001F5BF6" w:rsidRDefault="00801F4F" w:rsidP="00FA0EEC">
            <w:pPr>
              <w:rPr>
                <w:rFonts w:cs="Calibri"/>
                <w:b/>
                <w:bCs/>
                <w:color w:val="000000"/>
                <w:sz w:val="18"/>
                <w:szCs w:val="18"/>
              </w:rPr>
            </w:pPr>
            <w:r w:rsidRPr="001F5BF6">
              <w:rPr>
                <w:rFonts w:cs="Calibri"/>
                <w:b/>
                <w:bCs/>
                <w:color w:val="000000"/>
                <w:sz w:val="18"/>
                <w:szCs w:val="18"/>
              </w:rPr>
              <w:t> </w:t>
            </w:r>
          </w:p>
        </w:tc>
        <w:tc>
          <w:tcPr>
            <w:tcW w:w="1142" w:type="dxa"/>
            <w:tcBorders>
              <w:left w:val="nil"/>
              <w:right w:val="nil"/>
            </w:tcBorders>
            <w:shd w:val="clear" w:color="auto" w:fill="auto"/>
            <w:noWrap/>
            <w:vAlign w:val="center"/>
            <w:hideMark/>
          </w:tcPr>
          <w:p w14:paraId="4E625248" w14:textId="77777777" w:rsidR="00801F4F" w:rsidRPr="001F5BF6" w:rsidRDefault="00801F4F" w:rsidP="00FA0EEC">
            <w:pPr>
              <w:rPr>
                <w:rFonts w:cs="Calibri"/>
                <w:color w:val="000000"/>
              </w:rPr>
            </w:pPr>
            <w:r w:rsidRPr="001F5BF6">
              <w:rPr>
                <w:rFonts w:cs="Calibri"/>
                <w:color w:val="000000"/>
              </w:rPr>
              <w:t> </w:t>
            </w:r>
          </w:p>
        </w:tc>
        <w:tc>
          <w:tcPr>
            <w:tcW w:w="844" w:type="dxa"/>
            <w:tcBorders>
              <w:left w:val="nil"/>
              <w:right w:val="nil"/>
            </w:tcBorders>
            <w:shd w:val="clear" w:color="auto" w:fill="auto"/>
            <w:vAlign w:val="center"/>
            <w:hideMark/>
          </w:tcPr>
          <w:p w14:paraId="2CFB6F0C" w14:textId="77777777" w:rsidR="00801F4F" w:rsidRPr="001F5BF6" w:rsidRDefault="00801F4F" w:rsidP="00FA0EEC">
            <w:pPr>
              <w:jc w:val="right"/>
              <w:rPr>
                <w:rFonts w:cs="Calibri"/>
                <w:b/>
                <w:bCs/>
                <w:color w:val="000000"/>
                <w:sz w:val="16"/>
                <w:szCs w:val="16"/>
              </w:rPr>
            </w:pPr>
            <w:r w:rsidRPr="001F5BF6">
              <w:rPr>
                <w:rFonts w:cs="Calibri"/>
                <w:b/>
                <w:bCs/>
                <w:color w:val="000000"/>
                <w:sz w:val="16"/>
                <w:szCs w:val="16"/>
              </w:rPr>
              <w:t> </w:t>
            </w:r>
          </w:p>
        </w:tc>
        <w:tc>
          <w:tcPr>
            <w:tcW w:w="845" w:type="dxa"/>
            <w:tcBorders>
              <w:left w:val="nil"/>
              <w:right w:val="nil"/>
            </w:tcBorders>
            <w:shd w:val="clear" w:color="auto" w:fill="auto"/>
            <w:vAlign w:val="center"/>
            <w:hideMark/>
          </w:tcPr>
          <w:p w14:paraId="44DFDF7F" w14:textId="77777777" w:rsidR="00801F4F" w:rsidRPr="001F5BF6" w:rsidRDefault="00801F4F" w:rsidP="00FA0EEC">
            <w:pPr>
              <w:jc w:val="right"/>
              <w:rPr>
                <w:rFonts w:cs="Calibri"/>
                <w:b/>
                <w:bCs/>
                <w:color w:val="000000"/>
                <w:sz w:val="16"/>
                <w:szCs w:val="16"/>
              </w:rPr>
            </w:pPr>
            <w:r w:rsidRPr="001F5BF6">
              <w:rPr>
                <w:rFonts w:cs="Calibri"/>
                <w:b/>
                <w:bCs/>
                <w:color w:val="000000"/>
                <w:sz w:val="16"/>
                <w:szCs w:val="16"/>
              </w:rPr>
              <w:t> </w:t>
            </w:r>
          </w:p>
        </w:tc>
        <w:tc>
          <w:tcPr>
            <w:tcW w:w="871" w:type="dxa"/>
            <w:tcBorders>
              <w:left w:val="nil"/>
            </w:tcBorders>
            <w:shd w:val="clear" w:color="auto" w:fill="auto"/>
            <w:vAlign w:val="center"/>
            <w:hideMark/>
          </w:tcPr>
          <w:p w14:paraId="5B8DF78E" w14:textId="77777777" w:rsidR="00801F4F" w:rsidRPr="001F5BF6" w:rsidRDefault="00801F4F" w:rsidP="00FA0EEC">
            <w:pPr>
              <w:keepNext/>
              <w:jc w:val="right"/>
              <w:rPr>
                <w:rFonts w:cs="Calibri"/>
                <w:b/>
                <w:bCs/>
                <w:color w:val="000000"/>
                <w:sz w:val="16"/>
                <w:szCs w:val="16"/>
              </w:rPr>
            </w:pPr>
            <w:r w:rsidRPr="001F5BF6">
              <w:rPr>
                <w:rFonts w:cs="Calibri"/>
                <w:b/>
                <w:bCs/>
                <w:color w:val="000000"/>
                <w:sz w:val="16"/>
                <w:szCs w:val="16"/>
              </w:rPr>
              <w:t xml:space="preserve">   46.784,16   </w:t>
            </w:r>
          </w:p>
        </w:tc>
      </w:tr>
    </w:tbl>
    <w:p w14:paraId="5B869EA3" w14:textId="77777777" w:rsidR="00801F4F" w:rsidRDefault="00801F4F" w:rsidP="00801F4F"/>
    <w:p w14:paraId="1ED1B6D9" w14:textId="660B5346" w:rsidR="00801F4F" w:rsidRPr="0055655F" w:rsidRDefault="00801F4F" w:rsidP="00801F4F">
      <w:r w:rsidRPr="0055655F">
        <w:t>A valori definiti nelle precedenti tabelle si potrebbero applicare diversi coefficienti volti a considerare:</w:t>
      </w:r>
    </w:p>
    <w:p w14:paraId="6E60582E" w14:textId="77777777" w:rsidR="00801F4F" w:rsidRPr="006801D9" w:rsidRDefault="00801F4F">
      <w:pPr>
        <w:pStyle w:val="Paragrafoelenco"/>
        <w:numPr>
          <w:ilvl w:val="0"/>
          <w:numId w:val="28"/>
        </w:numPr>
        <w:spacing w:before="60" w:after="60" w:line="276" w:lineRule="auto"/>
      </w:pPr>
      <w:r w:rsidRPr="006801D9">
        <w:t>gli adeguamenti necessari ad aggiornare gli importi di riferimento, il rischio cambio e/o rincari sui costi di produzione dei servizi a causa degli effetti della pandemia da COVID 19 sommando, al totale generale dei costi dell’investimento, un valore proposto del 10% del totale dei costi.</w:t>
      </w:r>
    </w:p>
    <w:p w14:paraId="0123C324" w14:textId="77777777" w:rsidR="00801F4F" w:rsidRPr="006801D9" w:rsidRDefault="00801F4F">
      <w:pPr>
        <w:pStyle w:val="Paragrafoelenco"/>
        <w:numPr>
          <w:ilvl w:val="0"/>
          <w:numId w:val="28"/>
        </w:numPr>
        <w:spacing w:before="60" w:after="60" w:line="276" w:lineRule="auto"/>
      </w:pPr>
      <w:r>
        <w:t>l</w:t>
      </w:r>
      <w:r w:rsidRPr="006801D9">
        <w:t>a quota di cofinanziamento del soggetto privato, con l’applicazione, al valore del totale generale parziale dei costi di una riduzione percentuale pari al 50%;</w:t>
      </w:r>
    </w:p>
    <w:p w14:paraId="5401FB3E" w14:textId="77777777" w:rsidR="00801F4F" w:rsidRPr="0055655F" w:rsidRDefault="00801F4F" w:rsidP="00801F4F">
      <w:pPr>
        <w:pStyle w:val="Corpotesto"/>
        <w:ind w:right="227"/>
        <w:jc w:val="both"/>
        <w:rPr>
          <w:rFonts w:ascii="Calibri" w:hAnsi="Calibri"/>
          <w:i/>
          <w:spacing w:val="-1"/>
          <w:sz w:val="10"/>
          <w:szCs w:val="10"/>
        </w:rPr>
      </w:pPr>
    </w:p>
    <w:tbl>
      <w:tblPr>
        <w:tblW w:w="10200" w:type="dxa"/>
        <w:tblInd w:w="60" w:type="dxa"/>
        <w:tbl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insideH w:val="single" w:sz="8" w:space="0" w:color="525252" w:themeColor="accent3" w:themeShade="80"/>
          <w:insideV w:val="single" w:sz="8" w:space="0" w:color="525252" w:themeColor="accent3" w:themeShade="80"/>
        </w:tblBorders>
        <w:tblCellMar>
          <w:left w:w="70" w:type="dxa"/>
          <w:right w:w="70" w:type="dxa"/>
        </w:tblCellMar>
        <w:tblLook w:val="04A0" w:firstRow="1" w:lastRow="0" w:firstColumn="1" w:lastColumn="0" w:noHBand="0" w:noVBand="1"/>
      </w:tblPr>
      <w:tblGrid>
        <w:gridCol w:w="1160"/>
        <w:gridCol w:w="960"/>
        <w:gridCol w:w="1102"/>
        <w:gridCol w:w="960"/>
        <w:gridCol w:w="960"/>
        <w:gridCol w:w="1120"/>
        <w:gridCol w:w="1200"/>
        <w:gridCol w:w="936"/>
        <w:gridCol w:w="889"/>
        <w:gridCol w:w="913"/>
      </w:tblGrid>
      <w:tr w:rsidR="00801F4F" w:rsidRPr="006801D9" w14:paraId="427C0A31" w14:textId="77777777" w:rsidTr="00FA0EEC">
        <w:trPr>
          <w:trHeight w:val="728"/>
        </w:trPr>
        <w:tc>
          <w:tcPr>
            <w:tcW w:w="1160" w:type="dxa"/>
            <w:tcBorders>
              <w:top w:val="single" w:sz="8" w:space="0" w:color="525252" w:themeColor="accent3" w:themeShade="80"/>
              <w:left w:val="single" w:sz="8" w:space="0" w:color="525252" w:themeColor="accent3" w:themeShade="80"/>
              <w:bottom w:val="single" w:sz="8" w:space="0" w:color="525252" w:themeColor="accent3" w:themeShade="80"/>
              <w:right w:val="nil"/>
            </w:tcBorders>
            <w:shd w:val="clear" w:color="auto" w:fill="2F5496" w:themeFill="accent1" w:themeFillShade="BF"/>
            <w:vAlign w:val="center"/>
            <w:hideMark/>
          </w:tcPr>
          <w:p w14:paraId="6B105815"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Tipologia costi</w:t>
            </w:r>
          </w:p>
        </w:tc>
        <w:tc>
          <w:tcPr>
            <w:tcW w:w="960"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vAlign w:val="center"/>
            <w:hideMark/>
          </w:tcPr>
          <w:p w14:paraId="6D100BC5"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Attività Avviso</w:t>
            </w:r>
          </w:p>
        </w:tc>
        <w:tc>
          <w:tcPr>
            <w:tcW w:w="1102"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vAlign w:val="center"/>
            <w:hideMark/>
          </w:tcPr>
          <w:p w14:paraId="1BA0855F"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Tipologia attività</w:t>
            </w:r>
          </w:p>
        </w:tc>
        <w:tc>
          <w:tcPr>
            <w:tcW w:w="960"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vAlign w:val="center"/>
            <w:hideMark/>
          </w:tcPr>
          <w:p w14:paraId="78294A47"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Costo/mq</w:t>
            </w:r>
          </w:p>
        </w:tc>
        <w:tc>
          <w:tcPr>
            <w:tcW w:w="960"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vAlign w:val="center"/>
            <w:hideMark/>
          </w:tcPr>
          <w:p w14:paraId="63136B8B"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Valore richiesto</w:t>
            </w:r>
          </w:p>
        </w:tc>
        <w:tc>
          <w:tcPr>
            <w:tcW w:w="1120"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vAlign w:val="center"/>
            <w:hideMark/>
          </w:tcPr>
          <w:p w14:paraId="7B11A71B"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unità di misura</w:t>
            </w:r>
          </w:p>
        </w:tc>
        <w:tc>
          <w:tcPr>
            <w:tcW w:w="1200"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vAlign w:val="center"/>
            <w:hideMark/>
          </w:tcPr>
          <w:p w14:paraId="6F44C16C"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valore in €</w:t>
            </w:r>
          </w:p>
        </w:tc>
        <w:tc>
          <w:tcPr>
            <w:tcW w:w="936"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vAlign w:val="center"/>
            <w:hideMark/>
          </w:tcPr>
          <w:p w14:paraId="3BBD4DF0"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Bonus settore</w:t>
            </w:r>
          </w:p>
          <w:p w14:paraId="6863B3D8"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3%</w:t>
            </w:r>
          </w:p>
        </w:tc>
        <w:tc>
          <w:tcPr>
            <w:tcW w:w="889" w:type="dxa"/>
            <w:tcBorders>
              <w:top w:val="single" w:sz="8" w:space="0" w:color="525252" w:themeColor="accent3" w:themeShade="80"/>
              <w:left w:val="nil"/>
              <w:bottom w:val="single" w:sz="8" w:space="0" w:color="525252" w:themeColor="accent3" w:themeShade="80"/>
              <w:right w:val="nil"/>
            </w:tcBorders>
            <w:shd w:val="clear" w:color="auto" w:fill="2F5496" w:themeFill="accent1" w:themeFillShade="BF"/>
            <w:vAlign w:val="center"/>
            <w:hideMark/>
          </w:tcPr>
          <w:p w14:paraId="53F7667F"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Bonus mercato</w:t>
            </w:r>
          </w:p>
          <w:p w14:paraId="5523E7BC"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3%</w:t>
            </w:r>
          </w:p>
        </w:tc>
        <w:tc>
          <w:tcPr>
            <w:tcW w:w="913" w:type="dxa"/>
            <w:tcBorders>
              <w:top w:val="single" w:sz="8" w:space="0" w:color="525252" w:themeColor="accent3" w:themeShade="80"/>
              <w:left w:val="nil"/>
              <w:bottom w:val="single" w:sz="8" w:space="0" w:color="525252" w:themeColor="accent3" w:themeShade="80"/>
              <w:right w:val="single" w:sz="8" w:space="0" w:color="525252" w:themeColor="accent3" w:themeShade="80"/>
            </w:tcBorders>
            <w:shd w:val="clear" w:color="auto" w:fill="2F5496" w:themeFill="accent1" w:themeFillShade="BF"/>
            <w:vAlign w:val="center"/>
            <w:hideMark/>
          </w:tcPr>
          <w:p w14:paraId="5D7DE9B7" w14:textId="77777777" w:rsidR="00801F4F" w:rsidRPr="006801D9" w:rsidRDefault="00801F4F" w:rsidP="00FA0EEC">
            <w:pPr>
              <w:jc w:val="center"/>
              <w:rPr>
                <w:rFonts w:cs="Calibri"/>
                <w:b/>
                <w:bCs/>
                <w:color w:val="FFFFFF" w:themeColor="background1"/>
                <w:sz w:val="16"/>
                <w:szCs w:val="16"/>
              </w:rPr>
            </w:pPr>
            <w:r w:rsidRPr="006801D9">
              <w:rPr>
                <w:rFonts w:cs="Calibri"/>
                <w:b/>
                <w:bCs/>
                <w:color w:val="FFFFFF" w:themeColor="background1"/>
                <w:sz w:val="16"/>
                <w:szCs w:val="16"/>
              </w:rPr>
              <w:t>Totale</w:t>
            </w:r>
          </w:p>
        </w:tc>
      </w:tr>
      <w:tr w:rsidR="00801F4F" w:rsidRPr="006801D9" w14:paraId="4EBFAAEB" w14:textId="77777777" w:rsidTr="00FA0EEC">
        <w:trPr>
          <w:trHeight w:val="300"/>
        </w:trPr>
        <w:tc>
          <w:tcPr>
            <w:tcW w:w="1160" w:type="dxa"/>
            <w:vMerge w:val="restart"/>
            <w:tcBorders>
              <w:top w:val="single" w:sz="8" w:space="0" w:color="525252" w:themeColor="accent3" w:themeShade="80"/>
            </w:tcBorders>
            <w:shd w:val="clear" w:color="auto" w:fill="auto"/>
            <w:noWrap/>
            <w:vAlign w:val="center"/>
            <w:hideMark/>
          </w:tcPr>
          <w:p w14:paraId="2B9FC52E" w14:textId="77777777" w:rsidR="00801F4F" w:rsidRPr="006801D9" w:rsidRDefault="00801F4F" w:rsidP="00FA0EEC">
            <w:pPr>
              <w:rPr>
                <w:rFonts w:cs="Calibri"/>
                <w:b/>
                <w:bCs/>
                <w:color w:val="000000"/>
                <w:sz w:val="16"/>
                <w:szCs w:val="16"/>
              </w:rPr>
            </w:pPr>
            <w:r w:rsidRPr="006801D9">
              <w:rPr>
                <w:rFonts w:cs="Calibri"/>
                <w:b/>
                <w:bCs/>
                <w:color w:val="000000"/>
                <w:sz w:val="16"/>
                <w:szCs w:val="16"/>
              </w:rPr>
              <w:t>Costi diretti</w:t>
            </w:r>
          </w:p>
        </w:tc>
        <w:tc>
          <w:tcPr>
            <w:tcW w:w="960" w:type="dxa"/>
            <w:tcBorders>
              <w:top w:val="single" w:sz="8" w:space="0" w:color="525252" w:themeColor="accent3" w:themeShade="80"/>
              <w:bottom w:val="single" w:sz="8" w:space="0" w:color="525252" w:themeColor="accent3" w:themeShade="80"/>
              <w:right w:val="nil"/>
            </w:tcBorders>
            <w:shd w:val="clear" w:color="auto" w:fill="auto"/>
            <w:vAlign w:val="center"/>
            <w:hideMark/>
          </w:tcPr>
          <w:p w14:paraId="2B5C4536" w14:textId="77777777" w:rsidR="00801F4F" w:rsidRPr="006801D9" w:rsidRDefault="00801F4F" w:rsidP="00FA0EEC">
            <w:pPr>
              <w:jc w:val="center"/>
              <w:rPr>
                <w:rFonts w:cs="Calibri"/>
                <w:color w:val="000000"/>
                <w:sz w:val="16"/>
                <w:szCs w:val="16"/>
              </w:rPr>
            </w:pPr>
            <w:r w:rsidRPr="006801D9">
              <w:rPr>
                <w:rFonts w:cs="Calibri"/>
                <w:color w:val="000000"/>
                <w:sz w:val="16"/>
                <w:szCs w:val="16"/>
              </w:rPr>
              <w:t>A1</w:t>
            </w:r>
          </w:p>
        </w:tc>
        <w:tc>
          <w:tcPr>
            <w:tcW w:w="1102" w:type="dxa"/>
            <w:tcBorders>
              <w:top w:val="single" w:sz="8" w:space="0" w:color="525252" w:themeColor="accent3" w:themeShade="80"/>
              <w:left w:val="nil"/>
              <w:bottom w:val="single" w:sz="8" w:space="0" w:color="525252" w:themeColor="accent3" w:themeShade="80"/>
              <w:right w:val="nil"/>
            </w:tcBorders>
            <w:shd w:val="clear" w:color="auto" w:fill="auto"/>
            <w:noWrap/>
            <w:vAlign w:val="center"/>
            <w:hideMark/>
          </w:tcPr>
          <w:p w14:paraId="0DD7F7BF" w14:textId="77777777" w:rsidR="00801F4F" w:rsidRPr="006801D9" w:rsidRDefault="00801F4F" w:rsidP="00FA0EEC">
            <w:pPr>
              <w:jc w:val="center"/>
              <w:rPr>
                <w:rFonts w:cs="Calibri"/>
                <w:color w:val="000000"/>
                <w:sz w:val="16"/>
                <w:szCs w:val="16"/>
              </w:rPr>
            </w:pPr>
            <w:r w:rsidRPr="006801D9">
              <w:rPr>
                <w:rFonts w:cs="Calibri"/>
                <w:color w:val="000000"/>
                <w:sz w:val="16"/>
                <w:szCs w:val="16"/>
              </w:rPr>
              <w:t>Partecipazione fiere internazionali</w:t>
            </w:r>
          </w:p>
        </w:tc>
        <w:tc>
          <w:tcPr>
            <w:tcW w:w="960" w:type="dxa"/>
            <w:tcBorders>
              <w:top w:val="single" w:sz="8" w:space="0" w:color="525252" w:themeColor="accent3" w:themeShade="80"/>
              <w:left w:val="nil"/>
              <w:bottom w:val="single" w:sz="8" w:space="0" w:color="525252" w:themeColor="accent3" w:themeShade="80"/>
              <w:right w:val="nil"/>
            </w:tcBorders>
            <w:shd w:val="clear" w:color="auto" w:fill="auto"/>
            <w:noWrap/>
            <w:vAlign w:val="center"/>
            <w:hideMark/>
          </w:tcPr>
          <w:p w14:paraId="314806AC" w14:textId="77777777" w:rsidR="00801F4F" w:rsidRPr="006801D9" w:rsidRDefault="00801F4F" w:rsidP="00FA0EEC">
            <w:pPr>
              <w:jc w:val="right"/>
              <w:rPr>
                <w:rFonts w:cs="Calibri"/>
                <w:color w:val="000000"/>
                <w:sz w:val="16"/>
                <w:szCs w:val="16"/>
              </w:rPr>
            </w:pPr>
            <w:r w:rsidRPr="006801D9">
              <w:rPr>
                <w:rFonts w:cs="Calibri"/>
                <w:color w:val="000000"/>
                <w:sz w:val="16"/>
                <w:szCs w:val="16"/>
              </w:rPr>
              <w:t>720</w:t>
            </w:r>
          </w:p>
        </w:tc>
        <w:tc>
          <w:tcPr>
            <w:tcW w:w="960" w:type="dxa"/>
            <w:tcBorders>
              <w:top w:val="single" w:sz="8" w:space="0" w:color="525252" w:themeColor="accent3" w:themeShade="80"/>
              <w:left w:val="nil"/>
              <w:bottom w:val="single" w:sz="8" w:space="0" w:color="525252" w:themeColor="accent3" w:themeShade="80"/>
              <w:right w:val="nil"/>
            </w:tcBorders>
            <w:shd w:val="clear" w:color="auto" w:fill="auto"/>
            <w:noWrap/>
            <w:vAlign w:val="center"/>
            <w:hideMark/>
          </w:tcPr>
          <w:p w14:paraId="3334B560" w14:textId="77777777" w:rsidR="00801F4F" w:rsidRPr="006801D9" w:rsidRDefault="00801F4F" w:rsidP="00FA0EEC">
            <w:pPr>
              <w:jc w:val="center"/>
              <w:rPr>
                <w:rFonts w:cs="Calibri"/>
                <w:color w:val="000000"/>
                <w:sz w:val="16"/>
                <w:szCs w:val="16"/>
              </w:rPr>
            </w:pPr>
            <w:r w:rsidRPr="006801D9">
              <w:rPr>
                <w:rFonts w:cs="Calibri"/>
                <w:color w:val="000000"/>
                <w:sz w:val="16"/>
                <w:szCs w:val="16"/>
              </w:rPr>
              <w:t>50</w:t>
            </w:r>
          </w:p>
        </w:tc>
        <w:tc>
          <w:tcPr>
            <w:tcW w:w="1120" w:type="dxa"/>
            <w:tcBorders>
              <w:top w:val="single" w:sz="8" w:space="0" w:color="525252" w:themeColor="accent3" w:themeShade="80"/>
              <w:left w:val="nil"/>
              <w:bottom w:val="single" w:sz="8" w:space="0" w:color="525252" w:themeColor="accent3" w:themeShade="80"/>
              <w:right w:val="nil"/>
            </w:tcBorders>
            <w:shd w:val="clear" w:color="auto" w:fill="auto"/>
            <w:vAlign w:val="center"/>
            <w:hideMark/>
          </w:tcPr>
          <w:p w14:paraId="081EE2E5" w14:textId="77777777" w:rsidR="00801F4F" w:rsidRPr="006801D9" w:rsidRDefault="00801F4F" w:rsidP="00FA0EEC">
            <w:pPr>
              <w:jc w:val="center"/>
              <w:rPr>
                <w:rFonts w:cs="Calibri"/>
                <w:color w:val="000000"/>
                <w:sz w:val="16"/>
                <w:szCs w:val="16"/>
              </w:rPr>
            </w:pPr>
            <w:r w:rsidRPr="006801D9">
              <w:rPr>
                <w:rFonts w:cs="Calibri"/>
                <w:color w:val="000000"/>
                <w:sz w:val="16"/>
                <w:szCs w:val="16"/>
              </w:rPr>
              <w:t>mq</w:t>
            </w:r>
          </w:p>
        </w:tc>
        <w:tc>
          <w:tcPr>
            <w:tcW w:w="1200" w:type="dxa"/>
            <w:tcBorders>
              <w:top w:val="single" w:sz="8" w:space="0" w:color="525252" w:themeColor="accent3" w:themeShade="80"/>
              <w:left w:val="nil"/>
              <w:bottom w:val="single" w:sz="8" w:space="0" w:color="525252" w:themeColor="accent3" w:themeShade="80"/>
              <w:right w:val="nil"/>
            </w:tcBorders>
            <w:shd w:val="clear" w:color="auto" w:fill="auto"/>
            <w:noWrap/>
            <w:vAlign w:val="center"/>
            <w:hideMark/>
          </w:tcPr>
          <w:p w14:paraId="23F31574" w14:textId="77777777" w:rsidR="00801F4F" w:rsidRPr="006801D9" w:rsidRDefault="00801F4F" w:rsidP="00FA0EEC">
            <w:pPr>
              <w:jc w:val="right"/>
              <w:rPr>
                <w:rFonts w:cs="Calibri"/>
                <w:color w:val="000000"/>
                <w:sz w:val="16"/>
                <w:szCs w:val="16"/>
              </w:rPr>
            </w:pPr>
            <w:r w:rsidRPr="006801D9">
              <w:rPr>
                <w:rFonts w:cs="Calibri"/>
                <w:color w:val="000000"/>
                <w:sz w:val="16"/>
                <w:szCs w:val="16"/>
              </w:rPr>
              <w:t>36.000,00</w:t>
            </w:r>
          </w:p>
        </w:tc>
        <w:tc>
          <w:tcPr>
            <w:tcW w:w="936" w:type="dxa"/>
            <w:tcBorders>
              <w:top w:val="single" w:sz="8" w:space="0" w:color="525252" w:themeColor="accent3" w:themeShade="80"/>
              <w:left w:val="nil"/>
              <w:bottom w:val="single" w:sz="8" w:space="0" w:color="525252" w:themeColor="accent3" w:themeShade="80"/>
              <w:right w:val="nil"/>
            </w:tcBorders>
            <w:shd w:val="clear" w:color="auto" w:fill="auto"/>
            <w:vAlign w:val="center"/>
            <w:hideMark/>
          </w:tcPr>
          <w:p w14:paraId="3F8AC7B3" w14:textId="77777777" w:rsidR="00801F4F" w:rsidRPr="006801D9" w:rsidRDefault="00801F4F" w:rsidP="00FA0EEC">
            <w:pPr>
              <w:jc w:val="right"/>
              <w:rPr>
                <w:rFonts w:cs="Calibri"/>
                <w:color w:val="000000"/>
                <w:sz w:val="16"/>
                <w:szCs w:val="16"/>
              </w:rPr>
            </w:pPr>
            <w:r w:rsidRPr="006801D9">
              <w:rPr>
                <w:rFonts w:cs="Calibri"/>
                <w:color w:val="000000"/>
                <w:sz w:val="16"/>
                <w:szCs w:val="16"/>
              </w:rPr>
              <w:t> </w:t>
            </w:r>
          </w:p>
        </w:tc>
        <w:tc>
          <w:tcPr>
            <w:tcW w:w="889" w:type="dxa"/>
            <w:tcBorders>
              <w:top w:val="single" w:sz="8" w:space="0" w:color="525252" w:themeColor="accent3" w:themeShade="80"/>
              <w:left w:val="nil"/>
              <w:bottom w:val="single" w:sz="8" w:space="0" w:color="525252" w:themeColor="accent3" w:themeShade="80"/>
              <w:right w:val="nil"/>
            </w:tcBorders>
            <w:shd w:val="clear" w:color="auto" w:fill="auto"/>
            <w:vAlign w:val="center"/>
            <w:hideMark/>
          </w:tcPr>
          <w:p w14:paraId="4A1BFF95" w14:textId="77777777" w:rsidR="00801F4F" w:rsidRPr="006801D9" w:rsidRDefault="00801F4F" w:rsidP="00FA0EEC">
            <w:pPr>
              <w:jc w:val="right"/>
              <w:rPr>
                <w:rFonts w:cs="Calibri"/>
                <w:color w:val="000000"/>
                <w:sz w:val="16"/>
                <w:szCs w:val="16"/>
              </w:rPr>
            </w:pPr>
            <w:r w:rsidRPr="006801D9">
              <w:rPr>
                <w:rFonts w:cs="Calibri"/>
                <w:color w:val="000000"/>
                <w:sz w:val="16"/>
                <w:szCs w:val="16"/>
              </w:rPr>
              <w:t> </w:t>
            </w:r>
          </w:p>
        </w:tc>
        <w:tc>
          <w:tcPr>
            <w:tcW w:w="913" w:type="dxa"/>
            <w:tcBorders>
              <w:top w:val="single" w:sz="8" w:space="0" w:color="525252" w:themeColor="accent3" w:themeShade="80"/>
              <w:left w:val="nil"/>
              <w:bottom w:val="single" w:sz="8" w:space="0" w:color="525252" w:themeColor="accent3" w:themeShade="80"/>
            </w:tcBorders>
            <w:shd w:val="clear" w:color="auto" w:fill="auto"/>
            <w:vAlign w:val="center"/>
            <w:hideMark/>
          </w:tcPr>
          <w:p w14:paraId="2F28E400" w14:textId="77777777" w:rsidR="00801F4F" w:rsidRPr="006801D9" w:rsidRDefault="00801F4F" w:rsidP="00FA0EEC">
            <w:pPr>
              <w:jc w:val="right"/>
              <w:rPr>
                <w:rFonts w:cs="Calibri"/>
                <w:color w:val="000000"/>
                <w:sz w:val="16"/>
                <w:szCs w:val="16"/>
              </w:rPr>
            </w:pPr>
            <w:r w:rsidRPr="006801D9">
              <w:rPr>
                <w:rFonts w:cs="Calibri"/>
                <w:color w:val="000000"/>
                <w:sz w:val="16"/>
                <w:szCs w:val="16"/>
              </w:rPr>
              <w:t>36.000,00</w:t>
            </w:r>
          </w:p>
        </w:tc>
      </w:tr>
      <w:tr w:rsidR="00801F4F" w:rsidRPr="006801D9" w14:paraId="0741A542" w14:textId="77777777" w:rsidTr="00FA0EEC">
        <w:trPr>
          <w:trHeight w:val="300"/>
        </w:trPr>
        <w:tc>
          <w:tcPr>
            <w:tcW w:w="1160" w:type="dxa"/>
            <w:vMerge/>
            <w:tcBorders>
              <w:bottom w:val="single" w:sz="8" w:space="0" w:color="525252" w:themeColor="accent3" w:themeShade="80"/>
            </w:tcBorders>
            <w:vAlign w:val="center"/>
            <w:hideMark/>
          </w:tcPr>
          <w:p w14:paraId="2A0CC7D3" w14:textId="77777777" w:rsidR="00801F4F" w:rsidRPr="006801D9" w:rsidRDefault="00801F4F" w:rsidP="00FA0EEC">
            <w:pPr>
              <w:rPr>
                <w:rFonts w:cs="Calibri"/>
                <w:b/>
                <w:bCs/>
                <w:color w:val="000000"/>
                <w:sz w:val="16"/>
                <w:szCs w:val="16"/>
              </w:rPr>
            </w:pPr>
          </w:p>
        </w:tc>
        <w:tc>
          <w:tcPr>
            <w:tcW w:w="960" w:type="dxa"/>
            <w:tcBorders>
              <w:bottom w:val="single" w:sz="8" w:space="0" w:color="525252" w:themeColor="accent3" w:themeShade="80"/>
              <w:right w:val="nil"/>
            </w:tcBorders>
            <w:shd w:val="clear" w:color="auto" w:fill="auto"/>
            <w:vAlign w:val="center"/>
            <w:hideMark/>
          </w:tcPr>
          <w:p w14:paraId="475AA3F2" w14:textId="77777777" w:rsidR="00801F4F" w:rsidRPr="006801D9" w:rsidRDefault="00801F4F" w:rsidP="00FA0EEC">
            <w:pPr>
              <w:jc w:val="center"/>
              <w:rPr>
                <w:rFonts w:cs="Calibri"/>
                <w:color w:val="000000"/>
                <w:sz w:val="16"/>
                <w:szCs w:val="16"/>
              </w:rPr>
            </w:pPr>
            <w:r w:rsidRPr="006801D9">
              <w:rPr>
                <w:rFonts w:cs="Calibri"/>
                <w:color w:val="000000"/>
                <w:sz w:val="16"/>
                <w:szCs w:val="16"/>
              </w:rPr>
              <w:t>B</w:t>
            </w:r>
          </w:p>
        </w:tc>
        <w:tc>
          <w:tcPr>
            <w:tcW w:w="1102" w:type="dxa"/>
            <w:tcBorders>
              <w:left w:val="nil"/>
              <w:bottom w:val="single" w:sz="8" w:space="0" w:color="525252" w:themeColor="accent3" w:themeShade="80"/>
              <w:right w:val="nil"/>
            </w:tcBorders>
            <w:shd w:val="clear" w:color="auto" w:fill="auto"/>
            <w:noWrap/>
            <w:vAlign w:val="center"/>
            <w:hideMark/>
          </w:tcPr>
          <w:p w14:paraId="7B5060E3" w14:textId="77777777" w:rsidR="00801F4F" w:rsidRPr="006801D9" w:rsidRDefault="00801F4F" w:rsidP="00FA0EEC">
            <w:pPr>
              <w:jc w:val="center"/>
              <w:rPr>
                <w:rFonts w:cs="Calibri"/>
                <w:color w:val="000000"/>
                <w:sz w:val="16"/>
                <w:szCs w:val="16"/>
              </w:rPr>
            </w:pPr>
            <w:r w:rsidRPr="006801D9">
              <w:rPr>
                <w:rFonts w:cs="Calibri"/>
                <w:color w:val="000000"/>
                <w:sz w:val="16"/>
                <w:szCs w:val="16"/>
              </w:rPr>
              <w:t>Marketing</w:t>
            </w:r>
          </w:p>
        </w:tc>
        <w:tc>
          <w:tcPr>
            <w:tcW w:w="960" w:type="dxa"/>
            <w:tcBorders>
              <w:left w:val="nil"/>
              <w:bottom w:val="single" w:sz="8" w:space="0" w:color="525252" w:themeColor="accent3" w:themeShade="80"/>
              <w:right w:val="nil"/>
            </w:tcBorders>
            <w:shd w:val="clear" w:color="auto" w:fill="auto"/>
            <w:noWrap/>
            <w:vAlign w:val="center"/>
            <w:hideMark/>
          </w:tcPr>
          <w:p w14:paraId="55A1ECD5" w14:textId="77777777" w:rsidR="00801F4F" w:rsidRPr="006801D9" w:rsidRDefault="00801F4F" w:rsidP="00FA0EEC">
            <w:pPr>
              <w:jc w:val="right"/>
              <w:rPr>
                <w:rFonts w:cs="Calibri"/>
                <w:color w:val="000000"/>
                <w:sz w:val="16"/>
                <w:szCs w:val="16"/>
              </w:rPr>
            </w:pPr>
            <w:r w:rsidRPr="006801D9">
              <w:rPr>
                <w:rFonts w:cs="Calibri"/>
                <w:color w:val="000000"/>
                <w:sz w:val="16"/>
                <w:szCs w:val="16"/>
              </w:rPr>
              <w:t>390</w:t>
            </w:r>
          </w:p>
        </w:tc>
        <w:tc>
          <w:tcPr>
            <w:tcW w:w="960" w:type="dxa"/>
            <w:tcBorders>
              <w:left w:val="nil"/>
              <w:bottom w:val="single" w:sz="8" w:space="0" w:color="525252" w:themeColor="accent3" w:themeShade="80"/>
              <w:right w:val="nil"/>
            </w:tcBorders>
            <w:shd w:val="clear" w:color="auto" w:fill="auto"/>
            <w:noWrap/>
            <w:vAlign w:val="center"/>
            <w:hideMark/>
          </w:tcPr>
          <w:p w14:paraId="400797B2" w14:textId="77777777" w:rsidR="00801F4F" w:rsidRPr="006801D9" w:rsidRDefault="00801F4F" w:rsidP="00FA0EEC">
            <w:pPr>
              <w:jc w:val="center"/>
              <w:rPr>
                <w:rFonts w:cs="Calibri"/>
                <w:color w:val="000000"/>
                <w:sz w:val="16"/>
                <w:szCs w:val="16"/>
              </w:rPr>
            </w:pPr>
            <w:r w:rsidRPr="006801D9">
              <w:rPr>
                <w:rFonts w:cs="Calibri"/>
                <w:color w:val="000000"/>
                <w:sz w:val="16"/>
                <w:szCs w:val="16"/>
              </w:rPr>
              <w:t>2</w:t>
            </w:r>
          </w:p>
        </w:tc>
        <w:tc>
          <w:tcPr>
            <w:tcW w:w="1120" w:type="dxa"/>
            <w:tcBorders>
              <w:left w:val="nil"/>
              <w:bottom w:val="single" w:sz="8" w:space="0" w:color="525252" w:themeColor="accent3" w:themeShade="80"/>
              <w:right w:val="nil"/>
            </w:tcBorders>
            <w:shd w:val="clear" w:color="auto" w:fill="auto"/>
            <w:vAlign w:val="center"/>
            <w:hideMark/>
          </w:tcPr>
          <w:p w14:paraId="7E536C37" w14:textId="77777777" w:rsidR="00801F4F" w:rsidRPr="006801D9" w:rsidRDefault="00801F4F" w:rsidP="00FA0EEC">
            <w:pPr>
              <w:jc w:val="center"/>
              <w:rPr>
                <w:rFonts w:cs="Calibri"/>
                <w:color w:val="000000"/>
                <w:sz w:val="16"/>
                <w:szCs w:val="16"/>
              </w:rPr>
            </w:pPr>
            <w:r w:rsidRPr="006801D9">
              <w:rPr>
                <w:rFonts w:cs="Calibri"/>
                <w:color w:val="000000"/>
                <w:sz w:val="16"/>
                <w:szCs w:val="16"/>
              </w:rPr>
              <w:t>giorno/uomo</w:t>
            </w:r>
          </w:p>
        </w:tc>
        <w:tc>
          <w:tcPr>
            <w:tcW w:w="1200" w:type="dxa"/>
            <w:tcBorders>
              <w:left w:val="nil"/>
              <w:bottom w:val="single" w:sz="8" w:space="0" w:color="525252" w:themeColor="accent3" w:themeShade="80"/>
              <w:right w:val="nil"/>
            </w:tcBorders>
            <w:shd w:val="clear" w:color="auto" w:fill="auto"/>
            <w:noWrap/>
            <w:vAlign w:val="center"/>
            <w:hideMark/>
          </w:tcPr>
          <w:p w14:paraId="616B710A" w14:textId="77777777" w:rsidR="00801F4F" w:rsidRPr="006801D9" w:rsidRDefault="00801F4F" w:rsidP="00FA0EEC">
            <w:pPr>
              <w:jc w:val="right"/>
              <w:rPr>
                <w:rFonts w:cs="Calibri"/>
                <w:color w:val="000000"/>
                <w:sz w:val="16"/>
                <w:szCs w:val="16"/>
              </w:rPr>
            </w:pPr>
            <w:r w:rsidRPr="006801D9">
              <w:rPr>
                <w:rFonts w:cs="Calibri"/>
                <w:color w:val="000000"/>
                <w:sz w:val="16"/>
                <w:szCs w:val="16"/>
              </w:rPr>
              <w:t>780</w:t>
            </w:r>
          </w:p>
        </w:tc>
        <w:tc>
          <w:tcPr>
            <w:tcW w:w="936" w:type="dxa"/>
            <w:tcBorders>
              <w:left w:val="nil"/>
              <w:bottom w:val="single" w:sz="8" w:space="0" w:color="525252" w:themeColor="accent3" w:themeShade="80"/>
              <w:right w:val="nil"/>
            </w:tcBorders>
            <w:shd w:val="clear" w:color="auto" w:fill="auto"/>
            <w:vAlign w:val="center"/>
            <w:hideMark/>
          </w:tcPr>
          <w:p w14:paraId="71DC7E99"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889" w:type="dxa"/>
            <w:tcBorders>
              <w:left w:val="nil"/>
              <w:bottom w:val="single" w:sz="8" w:space="0" w:color="525252" w:themeColor="accent3" w:themeShade="80"/>
              <w:right w:val="nil"/>
            </w:tcBorders>
            <w:shd w:val="clear" w:color="auto" w:fill="auto"/>
            <w:vAlign w:val="center"/>
            <w:hideMark/>
          </w:tcPr>
          <w:p w14:paraId="32F197FD"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913" w:type="dxa"/>
            <w:tcBorders>
              <w:left w:val="nil"/>
              <w:bottom w:val="single" w:sz="8" w:space="0" w:color="525252" w:themeColor="accent3" w:themeShade="80"/>
            </w:tcBorders>
            <w:shd w:val="clear" w:color="auto" w:fill="auto"/>
            <w:vAlign w:val="center"/>
            <w:hideMark/>
          </w:tcPr>
          <w:p w14:paraId="796087AB" w14:textId="77777777" w:rsidR="00801F4F" w:rsidRPr="006801D9" w:rsidRDefault="00801F4F" w:rsidP="00FA0EEC">
            <w:pPr>
              <w:jc w:val="right"/>
              <w:rPr>
                <w:rFonts w:cs="Calibri"/>
                <w:color w:val="000000"/>
                <w:sz w:val="16"/>
                <w:szCs w:val="16"/>
              </w:rPr>
            </w:pPr>
            <w:r w:rsidRPr="006801D9">
              <w:rPr>
                <w:rFonts w:cs="Calibri"/>
                <w:color w:val="000000"/>
                <w:sz w:val="16"/>
                <w:szCs w:val="16"/>
              </w:rPr>
              <w:t>780,00</w:t>
            </w:r>
          </w:p>
        </w:tc>
      </w:tr>
      <w:tr w:rsidR="00801F4F" w:rsidRPr="006801D9" w14:paraId="3117E1FF" w14:textId="77777777" w:rsidTr="00FA0EEC">
        <w:trPr>
          <w:trHeight w:val="397"/>
        </w:trPr>
        <w:tc>
          <w:tcPr>
            <w:tcW w:w="2120" w:type="dxa"/>
            <w:gridSpan w:val="2"/>
            <w:tcBorders>
              <w:bottom w:val="single" w:sz="8" w:space="0" w:color="525252" w:themeColor="accent3" w:themeShade="80"/>
              <w:right w:val="nil"/>
            </w:tcBorders>
            <w:shd w:val="clear" w:color="auto" w:fill="auto"/>
            <w:vAlign w:val="center"/>
            <w:hideMark/>
          </w:tcPr>
          <w:p w14:paraId="7C6D8B72" w14:textId="77777777" w:rsidR="00801F4F" w:rsidRPr="006801D9" w:rsidRDefault="00801F4F" w:rsidP="00FA0EEC">
            <w:pPr>
              <w:rPr>
                <w:rFonts w:cs="Calibri"/>
                <w:b/>
                <w:bCs/>
                <w:color w:val="000000"/>
                <w:sz w:val="16"/>
                <w:szCs w:val="16"/>
              </w:rPr>
            </w:pPr>
            <w:r w:rsidRPr="006801D9">
              <w:rPr>
                <w:rFonts w:cs="Calibri"/>
                <w:b/>
                <w:bCs/>
                <w:color w:val="000000"/>
                <w:sz w:val="16"/>
                <w:szCs w:val="16"/>
              </w:rPr>
              <w:t xml:space="preserve"> Totale costi diretti</w:t>
            </w:r>
          </w:p>
        </w:tc>
        <w:tc>
          <w:tcPr>
            <w:tcW w:w="1102" w:type="dxa"/>
            <w:tcBorders>
              <w:left w:val="nil"/>
              <w:bottom w:val="single" w:sz="8" w:space="0" w:color="525252" w:themeColor="accent3" w:themeShade="80"/>
              <w:right w:val="nil"/>
            </w:tcBorders>
            <w:shd w:val="clear" w:color="auto" w:fill="auto"/>
            <w:noWrap/>
            <w:vAlign w:val="center"/>
            <w:hideMark/>
          </w:tcPr>
          <w:p w14:paraId="118B96A5"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960" w:type="dxa"/>
            <w:tcBorders>
              <w:left w:val="nil"/>
              <w:bottom w:val="single" w:sz="8" w:space="0" w:color="525252" w:themeColor="accent3" w:themeShade="80"/>
              <w:right w:val="nil"/>
            </w:tcBorders>
            <w:shd w:val="clear" w:color="auto" w:fill="auto"/>
            <w:noWrap/>
            <w:vAlign w:val="center"/>
            <w:hideMark/>
          </w:tcPr>
          <w:p w14:paraId="331EDFBB"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960" w:type="dxa"/>
            <w:tcBorders>
              <w:left w:val="nil"/>
              <w:bottom w:val="single" w:sz="8" w:space="0" w:color="525252" w:themeColor="accent3" w:themeShade="80"/>
              <w:right w:val="nil"/>
            </w:tcBorders>
            <w:shd w:val="clear" w:color="auto" w:fill="auto"/>
            <w:noWrap/>
            <w:vAlign w:val="center"/>
            <w:hideMark/>
          </w:tcPr>
          <w:p w14:paraId="4279CDB8"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1120" w:type="dxa"/>
            <w:tcBorders>
              <w:left w:val="nil"/>
              <w:bottom w:val="single" w:sz="8" w:space="0" w:color="525252" w:themeColor="accent3" w:themeShade="80"/>
              <w:right w:val="nil"/>
            </w:tcBorders>
            <w:shd w:val="clear" w:color="auto" w:fill="auto"/>
            <w:noWrap/>
            <w:vAlign w:val="center"/>
            <w:hideMark/>
          </w:tcPr>
          <w:p w14:paraId="55D5DBF1" w14:textId="77777777" w:rsidR="00801F4F" w:rsidRPr="006801D9" w:rsidRDefault="00801F4F" w:rsidP="00FA0EEC">
            <w:pPr>
              <w:rPr>
                <w:rFonts w:cs="Calibri"/>
                <w:b/>
                <w:bCs/>
                <w:color w:val="000000"/>
                <w:sz w:val="16"/>
                <w:szCs w:val="16"/>
              </w:rPr>
            </w:pPr>
            <w:r w:rsidRPr="006801D9">
              <w:rPr>
                <w:rFonts w:cs="Calibri"/>
                <w:b/>
                <w:bCs/>
                <w:color w:val="000000"/>
                <w:sz w:val="16"/>
                <w:szCs w:val="16"/>
              </w:rPr>
              <w:t> </w:t>
            </w:r>
          </w:p>
        </w:tc>
        <w:tc>
          <w:tcPr>
            <w:tcW w:w="1200" w:type="dxa"/>
            <w:tcBorders>
              <w:left w:val="nil"/>
              <w:bottom w:val="single" w:sz="8" w:space="0" w:color="525252" w:themeColor="accent3" w:themeShade="80"/>
              <w:right w:val="nil"/>
            </w:tcBorders>
            <w:shd w:val="clear" w:color="auto" w:fill="auto"/>
            <w:noWrap/>
            <w:vAlign w:val="center"/>
            <w:hideMark/>
          </w:tcPr>
          <w:p w14:paraId="08638D10" w14:textId="77777777" w:rsidR="00801F4F" w:rsidRPr="006801D9" w:rsidRDefault="00801F4F" w:rsidP="00FA0EEC">
            <w:pPr>
              <w:jc w:val="right"/>
              <w:rPr>
                <w:rFonts w:cs="Calibri"/>
                <w:color w:val="000000"/>
                <w:sz w:val="16"/>
                <w:szCs w:val="16"/>
              </w:rPr>
            </w:pPr>
            <w:r w:rsidRPr="006801D9">
              <w:rPr>
                <w:rFonts w:cs="Calibri"/>
                <w:color w:val="000000"/>
                <w:sz w:val="16"/>
                <w:szCs w:val="16"/>
              </w:rPr>
              <w:t>36.780,00</w:t>
            </w:r>
          </w:p>
        </w:tc>
        <w:tc>
          <w:tcPr>
            <w:tcW w:w="936" w:type="dxa"/>
            <w:tcBorders>
              <w:left w:val="nil"/>
              <w:bottom w:val="single" w:sz="8" w:space="0" w:color="525252" w:themeColor="accent3" w:themeShade="80"/>
              <w:right w:val="nil"/>
            </w:tcBorders>
            <w:shd w:val="clear" w:color="auto" w:fill="auto"/>
            <w:vAlign w:val="center"/>
            <w:hideMark/>
          </w:tcPr>
          <w:p w14:paraId="6E27507D" w14:textId="77777777" w:rsidR="00801F4F" w:rsidRPr="006801D9" w:rsidRDefault="00801F4F" w:rsidP="00FA0EEC">
            <w:pPr>
              <w:jc w:val="right"/>
              <w:rPr>
                <w:rFonts w:cs="Calibri"/>
                <w:color w:val="000000"/>
                <w:sz w:val="16"/>
                <w:szCs w:val="16"/>
              </w:rPr>
            </w:pPr>
            <w:r w:rsidRPr="006801D9">
              <w:rPr>
                <w:rFonts w:cs="Calibri"/>
                <w:color w:val="000000"/>
                <w:sz w:val="16"/>
                <w:szCs w:val="16"/>
              </w:rPr>
              <w:t> </w:t>
            </w:r>
          </w:p>
        </w:tc>
        <w:tc>
          <w:tcPr>
            <w:tcW w:w="889" w:type="dxa"/>
            <w:tcBorders>
              <w:left w:val="nil"/>
              <w:bottom w:val="single" w:sz="8" w:space="0" w:color="525252" w:themeColor="accent3" w:themeShade="80"/>
              <w:right w:val="nil"/>
            </w:tcBorders>
            <w:shd w:val="clear" w:color="auto" w:fill="auto"/>
            <w:vAlign w:val="center"/>
            <w:hideMark/>
          </w:tcPr>
          <w:p w14:paraId="7547B5A8" w14:textId="77777777" w:rsidR="00801F4F" w:rsidRPr="006801D9" w:rsidRDefault="00801F4F" w:rsidP="00FA0EEC">
            <w:pPr>
              <w:jc w:val="right"/>
              <w:rPr>
                <w:rFonts w:cs="Calibri"/>
                <w:color w:val="000000"/>
                <w:sz w:val="16"/>
                <w:szCs w:val="16"/>
              </w:rPr>
            </w:pPr>
            <w:r w:rsidRPr="006801D9">
              <w:rPr>
                <w:rFonts w:cs="Calibri"/>
                <w:color w:val="000000"/>
                <w:sz w:val="16"/>
                <w:szCs w:val="16"/>
              </w:rPr>
              <w:t> </w:t>
            </w:r>
          </w:p>
        </w:tc>
        <w:tc>
          <w:tcPr>
            <w:tcW w:w="913" w:type="dxa"/>
            <w:tcBorders>
              <w:left w:val="nil"/>
              <w:bottom w:val="single" w:sz="8" w:space="0" w:color="525252" w:themeColor="accent3" w:themeShade="80"/>
            </w:tcBorders>
            <w:shd w:val="clear" w:color="auto" w:fill="auto"/>
            <w:vAlign w:val="center"/>
            <w:hideMark/>
          </w:tcPr>
          <w:p w14:paraId="5B10DDBF" w14:textId="77777777" w:rsidR="00801F4F" w:rsidRPr="006801D9" w:rsidRDefault="00801F4F" w:rsidP="00FA0EEC">
            <w:pPr>
              <w:jc w:val="right"/>
              <w:rPr>
                <w:rFonts w:cs="Calibri"/>
                <w:color w:val="000000"/>
                <w:sz w:val="16"/>
                <w:szCs w:val="16"/>
              </w:rPr>
            </w:pPr>
            <w:r w:rsidRPr="006801D9">
              <w:rPr>
                <w:rFonts w:cs="Calibri"/>
                <w:color w:val="000000"/>
                <w:sz w:val="16"/>
                <w:szCs w:val="16"/>
              </w:rPr>
              <w:t>36.780,00</w:t>
            </w:r>
          </w:p>
        </w:tc>
      </w:tr>
      <w:tr w:rsidR="00801F4F" w:rsidRPr="006801D9" w14:paraId="42C0B19A" w14:textId="77777777" w:rsidTr="00FA0EEC">
        <w:trPr>
          <w:trHeight w:val="397"/>
        </w:trPr>
        <w:tc>
          <w:tcPr>
            <w:tcW w:w="6262" w:type="dxa"/>
            <w:gridSpan w:val="6"/>
            <w:tcBorders>
              <w:bottom w:val="single" w:sz="8" w:space="0" w:color="525252" w:themeColor="accent3" w:themeShade="80"/>
              <w:right w:val="nil"/>
            </w:tcBorders>
            <w:shd w:val="clear" w:color="auto" w:fill="auto"/>
            <w:vAlign w:val="center"/>
            <w:hideMark/>
          </w:tcPr>
          <w:p w14:paraId="7C45C5E8" w14:textId="77777777" w:rsidR="00801F4F" w:rsidRPr="006801D9" w:rsidRDefault="00801F4F" w:rsidP="00FA0EEC">
            <w:pPr>
              <w:rPr>
                <w:rFonts w:cs="Calibri"/>
                <w:b/>
                <w:bCs/>
                <w:color w:val="000000"/>
                <w:sz w:val="16"/>
                <w:szCs w:val="16"/>
              </w:rPr>
            </w:pPr>
            <w:r w:rsidRPr="006801D9">
              <w:rPr>
                <w:rFonts w:cs="Calibri"/>
                <w:b/>
                <w:bCs/>
                <w:color w:val="000000"/>
                <w:sz w:val="16"/>
                <w:szCs w:val="16"/>
              </w:rPr>
              <w:t>Totale costi diretti per il personale (20% dei costi diretti di spese diverse dal personale)</w:t>
            </w:r>
            <w:r w:rsidRPr="006801D9">
              <w:rPr>
                <w:rFonts w:cs="Calibri"/>
                <w:color w:val="000000"/>
                <w:sz w:val="16"/>
                <w:szCs w:val="16"/>
              </w:rPr>
              <w:t> </w:t>
            </w:r>
          </w:p>
        </w:tc>
        <w:tc>
          <w:tcPr>
            <w:tcW w:w="1200" w:type="dxa"/>
            <w:tcBorders>
              <w:left w:val="nil"/>
              <w:bottom w:val="single" w:sz="8" w:space="0" w:color="525252" w:themeColor="accent3" w:themeShade="80"/>
              <w:right w:val="nil"/>
            </w:tcBorders>
            <w:shd w:val="clear" w:color="auto" w:fill="auto"/>
            <w:noWrap/>
            <w:vAlign w:val="center"/>
            <w:hideMark/>
          </w:tcPr>
          <w:p w14:paraId="1BC6400E" w14:textId="77777777" w:rsidR="00801F4F" w:rsidRPr="006801D9" w:rsidRDefault="00801F4F" w:rsidP="00FA0EEC">
            <w:pPr>
              <w:jc w:val="right"/>
              <w:rPr>
                <w:rFonts w:cs="Calibri"/>
                <w:color w:val="000000"/>
                <w:sz w:val="16"/>
                <w:szCs w:val="16"/>
              </w:rPr>
            </w:pPr>
            <w:r w:rsidRPr="006801D9">
              <w:rPr>
                <w:rFonts w:cs="Calibri"/>
                <w:color w:val="000000"/>
                <w:sz w:val="16"/>
                <w:szCs w:val="16"/>
              </w:rPr>
              <w:t>7.356,00</w:t>
            </w:r>
          </w:p>
        </w:tc>
        <w:tc>
          <w:tcPr>
            <w:tcW w:w="936" w:type="dxa"/>
            <w:tcBorders>
              <w:left w:val="nil"/>
              <w:bottom w:val="single" w:sz="8" w:space="0" w:color="525252" w:themeColor="accent3" w:themeShade="80"/>
              <w:right w:val="nil"/>
            </w:tcBorders>
            <w:shd w:val="clear" w:color="auto" w:fill="auto"/>
            <w:vAlign w:val="center"/>
            <w:hideMark/>
          </w:tcPr>
          <w:p w14:paraId="1F942CC8"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889" w:type="dxa"/>
            <w:tcBorders>
              <w:left w:val="nil"/>
              <w:bottom w:val="single" w:sz="8" w:space="0" w:color="525252" w:themeColor="accent3" w:themeShade="80"/>
              <w:right w:val="nil"/>
            </w:tcBorders>
            <w:shd w:val="clear" w:color="auto" w:fill="auto"/>
            <w:vAlign w:val="center"/>
            <w:hideMark/>
          </w:tcPr>
          <w:p w14:paraId="1286CA61"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913" w:type="dxa"/>
            <w:tcBorders>
              <w:left w:val="nil"/>
              <w:bottom w:val="single" w:sz="8" w:space="0" w:color="525252" w:themeColor="accent3" w:themeShade="80"/>
            </w:tcBorders>
            <w:shd w:val="clear" w:color="auto" w:fill="auto"/>
            <w:vAlign w:val="center"/>
            <w:hideMark/>
          </w:tcPr>
          <w:p w14:paraId="580E96EC" w14:textId="77777777" w:rsidR="00801F4F" w:rsidRPr="006801D9" w:rsidRDefault="00801F4F" w:rsidP="00FA0EEC">
            <w:pPr>
              <w:jc w:val="right"/>
              <w:rPr>
                <w:rFonts w:cs="Calibri"/>
                <w:color w:val="000000"/>
                <w:sz w:val="16"/>
                <w:szCs w:val="16"/>
              </w:rPr>
            </w:pPr>
            <w:r w:rsidRPr="006801D9">
              <w:rPr>
                <w:rFonts w:cs="Calibri"/>
                <w:color w:val="000000"/>
                <w:sz w:val="16"/>
                <w:szCs w:val="16"/>
              </w:rPr>
              <w:t> </w:t>
            </w:r>
          </w:p>
        </w:tc>
      </w:tr>
      <w:tr w:rsidR="00801F4F" w:rsidRPr="006801D9" w14:paraId="7FCCB4C7" w14:textId="77777777" w:rsidTr="00FA0EEC">
        <w:trPr>
          <w:trHeight w:val="397"/>
        </w:trPr>
        <w:tc>
          <w:tcPr>
            <w:tcW w:w="1160" w:type="dxa"/>
            <w:tcBorders>
              <w:bottom w:val="single" w:sz="8" w:space="0" w:color="525252" w:themeColor="accent3" w:themeShade="80"/>
              <w:right w:val="nil"/>
            </w:tcBorders>
            <w:shd w:val="clear" w:color="auto" w:fill="auto"/>
            <w:vAlign w:val="center"/>
            <w:hideMark/>
          </w:tcPr>
          <w:p w14:paraId="756A40ED" w14:textId="77777777" w:rsidR="00801F4F" w:rsidRPr="006801D9" w:rsidRDefault="00801F4F" w:rsidP="00FA0EEC">
            <w:pPr>
              <w:rPr>
                <w:rFonts w:cs="Calibri"/>
                <w:b/>
                <w:bCs/>
                <w:color w:val="000000"/>
                <w:sz w:val="16"/>
                <w:szCs w:val="16"/>
              </w:rPr>
            </w:pPr>
            <w:r w:rsidRPr="006801D9">
              <w:rPr>
                <w:rFonts w:cs="Calibri"/>
                <w:b/>
                <w:bCs/>
                <w:color w:val="000000"/>
                <w:sz w:val="16"/>
                <w:szCs w:val="16"/>
              </w:rPr>
              <w:t>TOTALE COSTI</w:t>
            </w:r>
          </w:p>
        </w:tc>
        <w:tc>
          <w:tcPr>
            <w:tcW w:w="960" w:type="dxa"/>
            <w:tcBorders>
              <w:left w:val="nil"/>
              <w:bottom w:val="single" w:sz="8" w:space="0" w:color="525252" w:themeColor="accent3" w:themeShade="80"/>
              <w:right w:val="nil"/>
            </w:tcBorders>
            <w:shd w:val="clear" w:color="auto" w:fill="auto"/>
            <w:vAlign w:val="center"/>
            <w:hideMark/>
          </w:tcPr>
          <w:p w14:paraId="0849B817"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1102" w:type="dxa"/>
            <w:tcBorders>
              <w:left w:val="nil"/>
              <w:bottom w:val="single" w:sz="8" w:space="0" w:color="525252" w:themeColor="accent3" w:themeShade="80"/>
              <w:right w:val="nil"/>
            </w:tcBorders>
            <w:shd w:val="clear" w:color="auto" w:fill="auto"/>
            <w:noWrap/>
            <w:vAlign w:val="center"/>
            <w:hideMark/>
          </w:tcPr>
          <w:p w14:paraId="0F2804BA"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960" w:type="dxa"/>
            <w:tcBorders>
              <w:left w:val="nil"/>
              <w:bottom w:val="single" w:sz="8" w:space="0" w:color="525252" w:themeColor="accent3" w:themeShade="80"/>
              <w:right w:val="nil"/>
            </w:tcBorders>
            <w:shd w:val="clear" w:color="auto" w:fill="auto"/>
            <w:noWrap/>
            <w:vAlign w:val="center"/>
            <w:hideMark/>
          </w:tcPr>
          <w:p w14:paraId="0D4A1A28"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960" w:type="dxa"/>
            <w:tcBorders>
              <w:left w:val="nil"/>
              <w:bottom w:val="single" w:sz="8" w:space="0" w:color="525252" w:themeColor="accent3" w:themeShade="80"/>
              <w:right w:val="nil"/>
            </w:tcBorders>
            <w:shd w:val="clear" w:color="auto" w:fill="auto"/>
            <w:noWrap/>
            <w:vAlign w:val="center"/>
            <w:hideMark/>
          </w:tcPr>
          <w:p w14:paraId="6EDA280D"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1120" w:type="dxa"/>
            <w:tcBorders>
              <w:left w:val="nil"/>
              <w:bottom w:val="single" w:sz="8" w:space="0" w:color="525252" w:themeColor="accent3" w:themeShade="80"/>
              <w:right w:val="nil"/>
            </w:tcBorders>
            <w:shd w:val="clear" w:color="auto" w:fill="auto"/>
            <w:noWrap/>
            <w:vAlign w:val="center"/>
            <w:hideMark/>
          </w:tcPr>
          <w:p w14:paraId="423F6B6A"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1200" w:type="dxa"/>
            <w:tcBorders>
              <w:left w:val="nil"/>
              <w:bottom w:val="single" w:sz="8" w:space="0" w:color="525252" w:themeColor="accent3" w:themeShade="80"/>
              <w:right w:val="nil"/>
            </w:tcBorders>
            <w:shd w:val="clear" w:color="auto" w:fill="auto"/>
            <w:noWrap/>
            <w:vAlign w:val="center"/>
            <w:hideMark/>
          </w:tcPr>
          <w:p w14:paraId="1608A28B" w14:textId="77777777" w:rsidR="00801F4F" w:rsidRPr="006801D9" w:rsidRDefault="00801F4F" w:rsidP="00FA0EEC">
            <w:pPr>
              <w:jc w:val="right"/>
              <w:rPr>
                <w:rFonts w:cs="Calibri"/>
                <w:color w:val="000000"/>
                <w:sz w:val="16"/>
                <w:szCs w:val="16"/>
              </w:rPr>
            </w:pPr>
            <w:r w:rsidRPr="006801D9">
              <w:rPr>
                <w:rFonts w:cs="Calibri"/>
                <w:color w:val="000000"/>
                <w:sz w:val="16"/>
                <w:szCs w:val="16"/>
              </w:rPr>
              <w:t>44.136,00</w:t>
            </w:r>
          </w:p>
        </w:tc>
        <w:tc>
          <w:tcPr>
            <w:tcW w:w="936" w:type="dxa"/>
            <w:tcBorders>
              <w:left w:val="nil"/>
              <w:bottom w:val="single" w:sz="8" w:space="0" w:color="525252" w:themeColor="accent3" w:themeShade="80"/>
              <w:right w:val="nil"/>
            </w:tcBorders>
            <w:shd w:val="clear" w:color="auto" w:fill="auto"/>
            <w:vAlign w:val="center"/>
            <w:hideMark/>
          </w:tcPr>
          <w:p w14:paraId="64506A96" w14:textId="77777777" w:rsidR="00801F4F" w:rsidRPr="006801D9" w:rsidRDefault="00801F4F" w:rsidP="00FA0EEC">
            <w:pPr>
              <w:jc w:val="right"/>
              <w:rPr>
                <w:rFonts w:cs="Calibri"/>
                <w:color w:val="000000"/>
                <w:sz w:val="16"/>
                <w:szCs w:val="16"/>
              </w:rPr>
            </w:pPr>
            <w:r w:rsidRPr="006801D9">
              <w:rPr>
                <w:rFonts w:cs="Calibri"/>
                <w:color w:val="000000"/>
                <w:sz w:val="16"/>
                <w:szCs w:val="16"/>
              </w:rPr>
              <w:t>1.324,08</w:t>
            </w:r>
          </w:p>
        </w:tc>
        <w:tc>
          <w:tcPr>
            <w:tcW w:w="889" w:type="dxa"/>
            <w:tcBorders>
              <w:left w:val="nil"/>
              <w:bottom w:val="single" w:sz="8" w:space="0" w:color="525252" w:themeColor="accent3" w:themeShade="80"/>
              <w:right w:val="nil"/>
            </w:tcBorders>
            <w:shd w:val="clear" w:color="auto" w:fill="auto"/>
            <w:vAlign w:val="center"/>
            <w:hideMark/>
          </w:tcPr>
          <w:p w14:paraId="7C15F041" w14:textId="77777777" w:rsidR="00801F4F" w:rsidRPr="006801D9" w:rsidRDefault="00801F4F" w:rsidP="00FA0EEC">
            <w:pPr>
              <w:jc w:val="right"/>
              <w:rPr>
                <w:rFonts w:cs="Calibri"/>
                <w:color w:val="000000"/>
                <w:sz w:val="16"/>
                <w:szCs w:val="16"/>
              </w:rPr>
            </w:pPr>
            <w:r w:rsidRPr="006801D9">
              <w:rPr>
                <w:rFonts w:cs="Calibri"/>
                <w:color w:val="000000"/>
                <w:sz w:val="16"/>
                <w:szCs w:val="16"/>
              </w:rPr>
              <w:t>1.324,08</w:t>
            </w:r>
          </w:p>
        </w:tc>
        <w:tc>
          <w:tcPr>
            <w:tcW w:w="913" w:type="dxa"/>
            <w:tcBorders>
              <w:left w:val="nil"/>
              <w:bottom w:val="single" w:sz="8" w:space="0" w:color="525252" w:themeColor="accent3" w:themeShade="80"/>
            </w:tcBorders>
            <w:shd w:val="clear" w:color="auto" w:fill="auto"/>
            <w:vAlign w:val="center"/>
            <w:hideMark/>
          </w:tcPr>
          <w:p w14:paraId="70AEDFCD" w14:textId="77777777" w:rsidR="00801F4F" w:rsidRPr="006801D9" w:rsidRDefault="00801F4F" w:rsidP="00FA0EEC">
            <w:pPr>
              <w:jc w:val="right"/>
              <w:rPr>
                <w:rFonts w:cs="Calibri"/>
                <w:bCs/>
                <w:color w:val="000000"/>
                <w:sz w:val="16"/>
                <w:szCs w:val="16"/>
              </w:rPr>
            </w:pPr>
            <w:r w:rsidRPr="006801D9">
              <w:rPr>
                <w:rFonts w:cs="Calibri"/>
                <w:bCs/>
                <w:color w:val="000000"/>
                <w:sz w:val="16"/>
                <w:szCs w:val="16"/>
              </w:rPr>
              <w:t>46.784,16</w:t>
            </w:r>
          </w:p>
        </w:tc>
      </w:tr>
      <w:tr w:rsidR="00801F4F" w:rsidRPr="006801D9" w14:paraId="69E455F3" w14:textId="77777777" w:rsidTr="00FA0EEC">
        <w:trPr>
          <w:trHeight w:val="397"/>
        </w:trPr>
        <w:tc>
          <w:tcPr>
            <w:tcW w:w="8398" w:type="dxa"/>
            <w:gridSpan w:val="8"/>
            <w:tcBorders>
              <w:bottom w:val="single" w:sz="8" w:space="0" w:color="525252" w:themeColor="accent3" w:themeShade="80"/>
              <w:right w:val="nil"/>
            </w:tcBorders>
            <w:shd w:val="clear" w:color="auto" w:fill="auto"/>
            <w:noWrap/>
            <w:vAlign w:val="center"/>
            <w:hideMark/>
          </w:tcPr>
          <w:p w14:paraId="6B40397D" w14:textId="77777777" w:rsidR="00801F4F" w:rsidRPr="006801D9" w:rsidRDefault="00801F4F" w:rsidP="00FA0EEC">
            <w:pPr>
              <w:rPr>
                <w:rFonts w:cs="Calibri"/>
                <w:b/>
                <w:bCs/>
                <w:color w:val="000000"/>
                <w:sz w:val="16"/>
                <w:szCs w:val="16"/>
              </w:rPr>
            </w:pPr>
            <w:r w:rsidRPr="006801D9">
              <w:rPr>
                <w:rFonts w:cs="Calibri"/>
                <w:b/>
                <w:bCs/>
                <w:color w:val="000000"/>
                <w:sz w:val="16"/>
                <w:szCs w:val="16"/>
              </w:rPr>
              <w:t>Adeguamento costi (+10% del totale costi)</w:t>
            </w:r>
          </w:p>
        </w:tc>
        <w:tc>
          <w:tcPr>
            <w:tcW w:w="889" w:type="dxa"/>
            <w:tcBorders>
              <w:left w:val="nil"/>
              <w:bottom w:val="single" w:sz="8" w:space="0" w:color="525252" w:themeColor="accent3" w:themeShade="80"/>
              <w:right w:val="nil"/>
            </w:tcBorders>
            <w:shd w:val="clear" w:color="auto" w:fill="auto"/>
            <w:vAlign w:val="center"/>
            <w:hideMark/>
          </w:tcPr>
          <w:p w14:paraId="19EA72B7" w14:textId="77777777" w:rsidR="00801F4F" w:rsidRPr="006801D9" w:rsidRDefault="00801F4F" w:rsidP="00FA0EEC">
            <w:pPr>
              <w:jc w:val="right"/>
              <w:rPr>
                <w:rFonts w:cs="Calibri"/>
                <w:b/>
                <w:bCs/>
                <w:color w:val="000000"/>
                <w:sz w:val="16"/>
                <w:szCs w:val="16"/>
              </w:rPr>
            </w:pPr>
            <w:r w:rsidRPr="006801D9">
              <w:rPr>
                <w:rFonts w:cs="Calibri"/>
                <w:b/>
                <w:bCs/>
                <w:color w:val="000000"/>
                <w:sz w:val="16"/>
                <w:szCs w:val="16"/>
              </w:rPr>
              <w:t> </w:t>
            </w:r>
          </w:p>
        </w:tc>
        <w:tc>
          <w:tcPr>
            <w:tcW w:w="913" w:type="dxa"/>
            <w:tcBorders>
              <w:left w:val="nil"/>
              <w:bottom w:val="single" w:sz="8" w:space="0" w:color="525252" w:themeColor="accent3" w:themeShade="80"/>
            </w:tcBorders>
            <w:shd w:val="clear" w:color="auto" w:fill="auto"/>
            <w:vAlign w:val="center"/>
            <w:hideMark/>
          </w:tcPr>
          <w:p w14:paraId="523F8529" w14:textId="77777777" w:rsidR="00801F4F" w:rsidRPr="006801D9" w:rsidRDefault="00801F4F" w:rsidP="00FA0EEC">
            <w:pPr>
              <w:jc w:val="right"/>
              <w:rPr>
                <w:rFonts w:cs="Calibri"/>
                <w:bCs/>
                <w:color w:val="000000"/>
                <w:sz w:val="16"/>
                <w:szCs w:val="16"/>
              </w:rPr>
            </w:pPr>
            <w:r w:rsidRPr="006801D9">
              <w:rPr>
                <w:rFonts w:cs="Calibri"/>
                <w:bCs/>
                <w:color w:val="000000"/>
                <w:sz w:val="16"/>
                <w:szCs w:val="16"/>
              </w:rPr>
              <w:t>4.678,42</w:t>
            </w:r>
          </w:p>
        </w:tc>
      </w:tr>
      <w:tr w:rsidR="00801F4F" w:rsidRPr="006801D9" w14:paraId="729E5ECF" w14:textId="77777777" w:rsidTr="00FA0EEC">
        <w:trPr>
          <w:trHeight w:val="397"/>
        </w:trPr>
        <w:tc>
          <w:tcPr>
            <w:tcW w:w="2120" w:type="dxa"/>
            <w:gridSpan w:val="2"/>
            <w:tcBorders>
              <w:bottom w:val="single" w:sz="8" w:space="0" w:color="525252" w:themeColor="accent3" w:themeShade="80"/>
              <w:right w:val="nil"/>
            </w:tcBorders>
            <w:shd w:val="clear" w:color="auto" w:fill="auto"/>
            <w:noWrap/>
            <w:vAlign w:val="center"/>
            <w:hideMark/>
          </w:tcPr>
          <w:p w14:paraId="77C2463B" w14:textId="77777777" w:rsidR="00801F4F" w:rsidRPr="006801D9" w:rsidRDefault="00801F4F" w:rsidP="00FA0EEC">
            <w:pPr>
              <w:rPr>
                <w:rFonts w:cs="Calibri"/>
                <w:b/>
                <w:bCs/>
                <w:color w:val="000000"/>
                <w:sz w:val="16"/>
                <w:szCs w:val="16"/>
              </w:rPr>
            </w:pPr>
            <w:r w:rsidRPr="006801D9">
              <w:rPr>
                <w:rFonts w:cs="Calibri"/>
                <w:b/>
                <w:bCs/>
                <w:color w:val="000000"/>
                <w:sz w:val="16"/>
                <w:szCs w:val="16"/>
              </w:rPr>
              <w:t xml:space="preserve">TOTALE GENERALE PARZIALE </w:t>
            </w:r>
          </w:p>
        </w:tc>
        <w:tc>
          <w:tcPr>
            <w:tcW w:w="1102" w:type="dxa"/>
            <w:tcBorders>
              <w:left w:val="nil"/>
              <w:bottom w:val="single" w:sz="8" w:space="0" w:color="525252" w:themeColor="accent3" w:themeShade="80"/>
              <w:right w:val="nil"/>
            </w:tcBorders>
            <w:shd w:val="clear" w:color="auto" w:fill="auto"/>
            <w:noWrap/>
            <w:vAlign w:val="center"/>
            <w:hideMark/>
          </w:tcPr>
          <w:p w14:paraId="730D4868" w14:textId="77777777" w:rsidR="00801F4F" w:rsidRPr="006801D9" w:rsidRDefault="00801F4F" w:rsidP="00FA0EEC">
            <w:pPr>
              <w:rPr>
                <w:rFonts w:cs="Calibri"/>
                <w:b/>
                <w:bCs/>
                <w:color w:val="000000"/>
                <w:sz w:val="16"/>
                <w:szCs w:val="16"/>
              </w:rPr>
            </w:pPr>
            <w:r w:rsidRPr="006801D9">
              <w:rPr>
                <w:rFonts w:cs="Calibri"/>
                <w:b/>
                <w:bCs/>
                <w:color w:val="000000"/>
                <w:sz w:val="16"/>
                <w:szCs w:val="16"/>
              </w:rPr>
              <w:t> </w:t>
            </w:r>
          </w:p>
        </w:tc>
        <w:tc>
          <w:tcPr>
            <w:tcW w:w="960" w:type="dxa"/>
            <w:tcBorders>
              <w:left w:val="nil"/>
              <w:bottom w:val="single" w:sz="8" w:space="0" w:color="525252" w:themeColor="accent3" w:themeShade="80"/>
              <w:right w:val="nil"/>
            </w:tcBorders>
            <w:shd w:val="clear" w:color="auto" w:fill="auto"/>
            <w:noWrap/>
            <w:vAlign w:val="center"/>
            <w:hideMark/>
          </w:tcPr>
          <w:p w14:paraId="5F9FAB1A" w14:textId="77777777" w:rsidR="00801F4F" w:rsidRPr="006801D9" w:rsidRDefault="00801F4F" w:rsidP="00FA0EEC">
            <w:pPr>
              <w:rPr>
                <w:rFonts w:cs="Calibri"/>
                <w:b/>
                <w:bCs/>
                <w:color w:val="000000"/>
                <w:sz w:val="16"/>
                <w:szCs w:val="16"/>
              </w:rPr>
            </w:pPr>
            <w:r w:rsidRPr="006801D9">
              <w:rPr>
                <w:rFonts w:cs="Calibri"/>
                <w:b/>
                <w:bCs/>
                <w:color w:val="000000"/>
                <w:sz w:val="16"/>
                <w:szCs w:val="16"/>
              </w:rPr>
              <w:t> </w:t>
            </w:r>
          </w:p>
        </w:tc>
        <w:tc>
          <w:tcPr>
            <w:tcW w:w="960" w:type="dxa"/>
            <w:tcBorders>
              <w:left w:val="nil"/>
              <w:bottom w:val="single" w:sz="8" w:space="0" w:color="525252" w:themeColor="accent3" w:themeShade="80"/>
              <w:right w:val="nil"/>
            </w:tcBorders>
            <w:shd w:val="clear" w:color="auto" w:fill="auto"/>
            <w:noWrap/>
            <w:vAlign w:val="center"/>
            <w:hideMark/>
          </w:tcPr>
          <w:p w14:paraId="0B73DEE3"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1120" w:type="dxa"/>
            <w:tcBorders>
              <w:left w:val="nil"/>
              <w:bottom w:val="single" w:sz="8" w:space="0" w:color="525252" w:themeColor="accent3" w:themeShade="80"/>
              <w:right w:val="nil"/>
            </w:tcBorders>
            <w:shd w:val="clear" w:color="auto" w:fill="auto"/>
            <w:noWrap/>
            <w:vAlign w:val="center"/>
            <w:hideMark/>
          </w:tcPr>
          <w:p w14:paraId="773A6727" w14:textId="77777777" w:rsidR="00801F4F" w:rsidRPr="006801D9" w:rsidRDefault="00801F4F" w:rsidP="00FA0EEC">
            <w:pPr>
              <w:rPr>
                <w:rFonts w:cs="Calibri"/>
                <w:b/>
                <w:bCs/>
                <w:color w:val="000000"/>
                <w:sz w:val="16"/>
                <w:szCs w:val="16"/>
              </w:rPr>
            </w:pPr>
            <w:r w:rsidRPr="006801D9">
              <w:rPr>
                <w:rFonts w:cs="Calibri"/>
                <w:b/>
                <w:bCs/>
                <w:color w:val="000000"/>
                <w:sz w:val="16"/>
                <w:szCs w:val="16"/>
              </w:rPr>
              <w:t> </w:t>
            </w:r>
          </w:p>
        </w:tc>
        <w:tc>
          <w:tcPr>
            <w:tcW w:w="1200" w:type="dxa"/>
            <w:tcBorders>
              <w:left w:val="nil"/>
              <w:bottom w:val="single" w:sz="8" w:space="0" w:color="525252" w:themeColor="accent3" w:themeShade="80"/>
              <w:right w:val="nil"/>
            </w:tcBorders>
            <w:shd w:val="clear" w:color="auto" w:fill="auto"/>
            <w:noWrap/>
            <w:vAlign w:val="center"/>
            <w:hideMark/>
          </w:tcPr>
          <w:p w14:paraId="16944852"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936" w:type="dxa"/>
            <w:tcBorders>
              <w:left w:val="nil"/>
              <w:bottom w:val="single" w:sz="8" w:space="0" w:color="525252" w:themeColor="accent3" w:themeShade="80"/>
              <w:right w:val="nil"/>
            </w:tcBorders>
            <w:shd w:val="clear" w:color="auto" w:fill="auto"/>
            <w:vAlign w:val="center"/>
            <w:hideMark/>
          </w:tcPr>
          <w:p w14:paraId="51A71CB9" w14:textId="77777777" w:rsidR="00801F4F" w:rsidRPr="006801D9" w:rsidRDefault="00801F4F" w:rsidP="00FA0EEC">
            <w:pPr>
              <w:jc w:val="right"/>
              <w:rPr>
                <w:rFonts w:cs="Calibri"/>
                <w:b/>
                <w:bCs/>
                <w:color w:val="000000"/>
                <w:sz w:val="16"/>
                <w:szCs w:val="16"/>
              </w:rPr>
            </w:pPr>
            <w:r w:rsidRPr="006801D9">
              <w:rPr>
                <w:rFonts w:cs="Calibri"/>
                <w:b/>
                <w:bCs/>
                <w:color w:val="000000"/>
                <w:sz w:val="16"/>
                <w:szCs w:val="16"/>
              </w:rPr>
              <w:t> </w:t>
            </w:r>
          </w:p>
        </w:tc>
        <w:tc>
          <w:tcPr>
            <w:tcW w:w="889" w:type="dxa"/>
            <w:tcBorders>
              <w:left w:val="nil"/>
              <w:bottom w:val="single" w:sz="8" w:space="0" w:color="525252" w:themeColor="accent3" w:themeShade="80"/>
              <w:right w:val="nil"/>
            </w:tcBorders>
            <w:shd w:val="clear" w:color="auto" w:fill="auto"/>
            <w:vAlign w:val="center"/>
            <w:hideMark/>
          </w:tcPr>
          <w:p w14:paraId="1305C21F" w14:textId="77777777" w:rsidR="00801F4F" w:rsidRPr="006801D9" w:rsidRDefault="00801F4F" w:rsidP="00FA0EEC">
            <w:pPr>
              <w:jc w:val="right"/>
              <w:rPr>
                <w:rFonts w:cs="Calibri"/>
                <w:b/>
                <w:bCs/>
                <w:color w:val="000000"/>
                <w:sz w:val="16"/>
                <w:szCs w:val="16"/>
              </w:rPr>
            </w:pPr>
            <w:r w:rsidRPr="006801D9">
              <w:rPr>
                <w:rFonts w:cs="Calibri"/>
                <w:b/>
                <w:bCs/>
                <w:color w:val="000000"/>
                <w:sz w:val="16"/>
                <w:szCs w:val="16"/>
              </w:rPr>
              <w:t> </w:t>
            </w:r>
          </w:p>
        </w:tc>
        <w:tc>
          <w:tcPr>
            <w:tcW w:w="913" w:type="dxa"/>
            <w:tcBorders>
              <w:left w:val="nil"/>
              <w:bottom w:val="single" w:sz="8" w:space="0" w:color="525252" w:themeColor="accent3" w:themeShade="80"/>
            </w:tcBorders>
            <w:shd w:val="clear" w:color="auto" w:fill="auto"/>
            <w:vAlign w:val="center"/>
            <w:hideMark/>
          </w:tcPr>
          <w:p w14:paraId="5EF4DBBA" w14:textId="77777777" w:rsidR="00801F4F" w:rsidRPr="006801D9" w:rsidRDefault="00801F4F" w:rsidP="00FA0EEC">
            <w:pPr>
              <w:jc w:val="right"/>
              <w:rPr>
                <w:rFonts w:cs="Calibri"/>
                <w:bCs/>
                <w:color w:val="000000"/>
                <w:sz w:val="16"/>
                <w:szCs w:val="16"/>
              </w:rPr>
            </w:pPr>
            <w:r w:rsidRPr="006801D9">
              <w:rPr>
                <w:rFonts w:cs="Calibri"/>
                <w:bCs/>
                <w:color w:val="000000"/>
                <w:sz w:val="16"/>
                <w:szCs w:val="16"/>
              </w:rPr>
              <w:t>51.462,58</w:t>
            </w:r>
          </w:p>
        </w:tc>
      </w:tr>
      <w:tr w:rsidR="00801F4F" w:rsidRPr="006801D9" w14:paraId="0A87B00E" w14:textId="77777777" w:rsidTr="00FA0EEC">
        <w:trPr>
          <w:trHeight w:val="397"/>
        </w:trPr>
        <w:tc>
          <w:tcPr>
            <w:tcW w:w="6262" w:type="dxa"/>
            <w:gridSpan w:val="6"/>
            <w:tcBorders>
              <w:bottom w:val="single" w:sz="8" w:space="0" w:color="525252" w:themeColor="accent3" w:themeShade="80"/>
              <w:right w:val="nil"/>
            </w:tcBorders>
            <w:shd w:val="clear" w:color="auto" w:fill="auto"/>
            <w:noWrap/>
            <w:vAlign w:val="center"/>
            <w:hideMark/>
          </w:tcPr>
          <w:p w14:paraId="40A82F26" w14:textId="77777777" w:rsidR="00801F4F" w:rsidRPr="006801D9" w:rsidRDefault="00801F4F" w:rsidP="00FA0EEC">
            <w:pPr>
              <w:rPr>
                <w:rFonts w:cs="Calibri"/>
                <w:b/>
                <w:bCs/>
                <w:color w:val="000000"/>
                <w:sz w:val="16"/>
                <w:szCs w:val="16"/>
              </w:rPr>
            </w:pPr>
            <w:r w:rsidRPr="006801D9">
              <w:rPr>
                <w:rFonts w:cs="Calibri"/>
                <w:b/>
                <w:bCs/>
                <w:color w:val="000000"/>
                <w:sz w:val="16"/>
                <w:szCs w:val="16"/>
              </w:rPr>
              <w:t>Quota di cofinanziamento privato (-50% sul totale generale parziale)</w:t>
            </w:r>
          </w:p>
        </w:tc>
        <w:tc>
          <w:tcPr>
            <w:tcW w:w="1200" w:type="dxa"/>
            <w:tcBorders>
              <w:left w:val="nil"/>
              <w:bottom w:val="single" w:sz="8" w:space="0" w:color="525252" w:themeColor="accent3" w:themeShade="80"/>
              <w:right w:val="nil"/>
            </w:tcBorders>
            <w:shd w:val="clear" w:color="auto" w:fill="auto"/>
            <w:noWrap/>
            <w:vAlign w:val="center"/>
            <w:hideMark/>
          </w:tcPr>
          <w:p w14:paraId="0F2599B4"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936" w:type="dxa"/>
            <w:tcBorders>
              <w:left w:val="nil"/>
              <w:bottom w:val="single" w:sz="8" w:space="0" w:color="525252" w:themeColor="accent3" w:themeShade="80"/>
              <w:right w:val="nil"/>
            </w:tcBorders>
            <w:shd w:val="clear" w:color="auto" w:fill="auto"/>
            <w:vAlign w:val="center"/>
            <w:hideMark/>
          </w:tcPr>
          <w:p w14:paraId="30863A26" w14:textId="77777777" w:rsidR="00801F4F" w:rsidRPr="006801D9" w:rsidRDefault="00801F4F" w:rsidP="00FA0EEC">
            <w:pPr>
              <w:jc w:val="right"/>
              <w:rPr>
                <w:rFonts w:cs="Calibri"/>
                <w:b/>
                <w:bCs/>
                <w:color w:val="000000"/>
                <w:sz w:val="16"/>
                <w:szCs w:val="16"/>
              </w:rPr>
            </w:pPr>
            <w:r w:rsidRPr="006801D9">
              <w:rPr>
                <w:rFonts w:cs="Calibri"/>
                <w:b/>
                <w:bCs/>
                <w:color w:val="000000"/>
                <w:sz w:val="16"/>
                <w:szCs w:val="16"/>
              </w:rPr>
              <w:t> </w:t>
            </w:r>
          </w:p>
        </w:tc>
        <w:tc>
          <w:tcPr>
            <w:tcW w:w="889" w:type="dxa"/>
            <w:tcBorders>
              <w:left w:val="nil"/>
              <w:bottom w:val="single" w:sz="8" w:space="0" w:color="525252" w:themeColor="accent3" w:themeShade="80"/>
              <w:right w:val="nil"/>
            </w:tcBorders>
            <w:shd w:val="clear" w:color="auto" w:fill="auto"/>
            <w:vAlign w:val="center"/>
            <w:hideMark/>
          </w:tcPr>
          <w:p w14:paraId="2871A0A5" w14:textId="77777777" w:rsidR="00801F4F" w:rsidRPr="006801D9" w:rsidRDefault="00801F4F" w:rsidP="00FA0EEC">
            <w:pPr>
              <w:jc w:val="right"/>
              <w:rPr>
                <w:rFonts w:cs="Calibri"/>
                <w:b/>
                <w:bCs/>
                <w:color w:val="000000"/>
                <w:sz w:val="16"/>
                <w:szCs w:val="16"/>
              </w:rPr>
            </w:pPr>
            <w:r w:rsidRPr="006801D9">
              <w:rPr>
                <w:rFonts w:cs="Calibri"/>
                <w:b/>
                <w:bCs/>
                <w:color w:val="000000"/>
                <w:sz w:val="16"/>
                <w:szCs w:val="16"/>
              </w:rPr>
              <w:t> </w:t>
            </w:r>
          </w:p>
        </w:tc>
        <w:tc>
          <w:tcPr>
            <w:tcW w:w="913" w:type="dxa"/>
            <w:tcBorders>
              <w:left w:val="nil"/>
              <w:bottom w:val="single" w:sz="8" w:space="0" w:color="525252" w:themeColor="accent3" w:themeShade="80"/>
            </w:tcBorders>
            <w:shd w:val="clear" w:color="auto" w:fill="auto"/>
            <w:vAlign w:val="center"/>
            <w:hideMark/>
          </w:tcPr>
          <w:p w14:paraId="2A2C8F71" w14:textId="77777777" w:rsidR="00801F4F" w:rsidRPr="006801D9" w:rsidRDefault="00801F4F" w:rsidP="00FA0EEC">
            <w:pPr>
              <w:jc w:val="right"/>
              <w:rPr>
                <w:rFonts w:cs="Calibri"/>
                <w:bCs/>
                <w:color w:val="000000"/>
                <w:sz w:val="16"/>
                <w:szCs w:val="16"/>
              </w:rPr>
            </w:pPr>
            <w:r w:rsidRPr="006801D9">
              <w:rPr>
                <w:rFonts w:cs="Calibri"/>
                <w:bCs/>
                <w:color w:val="000000"/>
                <w:sz w:val="16"/>
                <w:szCs w:val="16"/>
              </w:rPr>
              <w:t>25.731,29</w:t>
            </w:r>
          </w:p>
        </w:tc>
      </w:tr>
      <w:tr w:rsidR="00801F4F" w:rsidRPr="006801D9" w14:paraId="5263091B" w14:textId="77777777" w:rsidTr="00FA0EEC">
        <w:trPr>
          <w:trHeight w:val="397"/>
        </w:trPr>
        <w:tc>
          <w:tcPr>
            <w:tcW w:w="6262" w:type="dxa"/>
            <w:gridSpan w:val="6"/>
            <w:tcBorders>
              <w:right w:val="nil"/>
            </w:tcBorders>
            <w:shd w:val="clear" w:color="auto" w:fill="auto"/>
            <w:noWrap/>
            <w:vAlign w:val="center"/>
            <w:hideMark/>
          </w:tcPr>
          <w:p w14:paraId="1279BFF0" w14:textId="77777777" w:rsidR="00801F4F" w:rsidRPr="006801D9" w:rsidRDefault="00801F4F" w:rsidP="00FA0EEC">
            <w:pPr>
              <w:rPr>
                <w:rFonts w:cs="Calibri"/>
                <w:b/>
                <w:bCs/>
                <w:color w:val="000000"/>
                <w:sz w:val="16"/>
                <w:szCs w:val="16"/>
              </w:rPr>
            </w:pPr>
            <w:r w:rsidRPr="006801D9">
              <w:rPr>
                <w:rFonts w:cs="Calibri"/>
                <w:b/>
                <w:bCs/>
                <w:color w:val="000000"/>
                <w:sz w:val="16"/>
                <w:szCs w:val="16"/>
              </w:rPr>
              <w:t>TOTALE GENERALE FINALE</w:t>
            </w:r>
          </w:p>
        </w:tc>
        <w:tc>
          <w:tcPr>
            <w:tcW w:w="1200" w:type="dxa"/>
            <w:tcBorders>
              <w:left w:val="nil"/>
              <w:right w:val="nil"/>
            </w:tcBorders>
            <w:shd w:val="clear" w:color="auto" w:fill="auto"/>
            <w:noWrap/>
            <w:vAlign w:val="center"/>
            <w:hideMark/>
          </w:tcPr>
          <w:p w14:paraId="63C50C2A" w14:textId="77777777" w:rsidR="00801F4F" w:rsidRPr="006801D9" w:rsidRDefault="00801F4F" w:rsidP="00FA0EEC">
            <w:pPr>
              <w:rPr>
                <w:rFonts w:cs="Calibri"/>
                <w:color w:val="000000"/>
                <w:sz w:val="16"/>
                <w:szCs w:val="16"/>
              </w:rPr>
            </w:pPr>
            <w:r w:rsidRPr="006801D9">
              <w:rPr>
                <w:rFonts w:cs="Calibri"/>
                <w:color w:val="000000"/>
                <w:sz w:val="16"/>
                <w:szCs w:val="16"/>
              </w:rPr>
              <w:t> </w:t>
            </w:r>
          </w:p>
        </w:tc>
        <w:tc>
          <w:tcPr>
            <w:tcW w:w="936" w:type="dxa"/>
            <w:tcBorders>
              <w:left w:val="nil"/>
              <w:right w:val="nil"/>
            </w:tcBorders>
            <w:shd w:val="clear" w:color="auto" w:fill="auto"/>
            <w:vAlign w:val="center"/>
            <w:hideMark/>
          </w:tcPr>
          <w:p w14:paraId="19708705" w14:textId="77777777" w:rsidR="00801F4F" w:rsidRPr="006801D9" w:rsidRDefault="00801F4F" w:rsidP="00FA0EEC">
            <w:pPr>
              <w:jc w:val="right"/>
              <w:rPr>
                <w:rFonts w:cs="Calibri"/>
                <w:b/>
                <w:bCs/>
                <w:color w:val="000000"/>
                <w:sz w:val="16"/>
                <w:szCs w:val="16"/>
              </w:rPr>
            </w:pPr>
            <w:r w:rsidRPr="006801D9">
              <w:rPr>
                <w:rFonts w:cs="Calibri"/>
                <w:b/>
                <w:bCs/>
                <w:color w:val="000000"/>
                <w:sz w:val="16"/>
                <w:szCs w:val="16"/>
              </w:rPr>
              <w:t> </w:t>
            </w:r>
          </w:p>
        </w:tc>
        <w:tc>
          <w:tcPr>
            <w:tcW w:w="889" w:type="dxa"/>
            <w:tcBorders>
              <w:left w:val="nil"/>
              <w:right w:val="nil"/>
            </w:tcBorders>
            <w:shd w:val="clear" w:color="auto" w:fill="auto"/>
            <w:vAlign w:val="center"/>
            <w:hideMark/>
          </w:tcPr>
          <w:p w14:paraId="0CF8838A" w14:textId="77777777" w:rsidR="00801F4F" w:rsidRPr="006801D9" w:rsidRDefault="00801F4F" w:rsidP="00FA0EEC">
            <w:pPr>
              <w:jc w:val="right"/>
              <w:rPr>
                <w:rFonts w:cs="Calibri"/>
                <w:b/>
                <w:bCs/>
                <w:color w:val="000000"/>
                <w:sz w:val="16"/>
                <w:szCs w:val="16"/>
              </w:rPr>
            </w:pPr>
            <w:r w:rsidRPr="006801D9">
              <w:rPr>
                <w:rFonts w:cs="Calibri"/>
                <w:b/>
                <w:bCs/>
                <w:color w:val="000000"/>
                <w:sz w:val="16"/>
                <w:szCs w:val="16"/>
              </w:rPr>
              <w:t> </w:t>
            </w:r>
          </w:p>
        </w:tc>
        <w:tc>
          <w:tcPr>
            <w:tcW w:w="913" w:type="dxa"/>
            <w:tcBorders>
              <w:left w:val="nil"/>
            </w:tcBorders>
            <w:shd w:val="clear" w:color="auto" w:fill="auto"/>
            <w:vAlign w:val="center"/>
            <w:hideMark/>
          </w:tcPr>
          <w:p w14:paraId="34DB0BDE" w14:textId="77777777" w:rsidR="00801F4F" w:rsidRPr="006801D9" w:rsidRDefault="00801F4F" w:rsidP="00FA0EEC">
            <w:pPr>
              <w:keepNext/>
              <w:jc w:val="right"/>
              <w:rPr>
                <w:rFonts w:cs="Calibri"/>
                <w:b/>
                <w:bCs/>
                <w:color w:val="000000"/>
                <w:sz w:val="16"/>
                <w:szCs w:val="16"/>
              </w:rPr>
            </w:pPr>
            <w:r w:rsidRPr="006801D9">
              <w:rPr>
                <w:rFonts w:cs="Calibri"/>
                <w:b/>
                <w:bCs/>
                <w:color w:val="000000"/>
                <w:sz w:val="16"/>
                <w:szCs w:val="16"/>
              </w:rPr>
              <w:t>25.731,29</w:t>
            </w:r>
          </w:p>
        </w:tc>
      </w:tr>
    </w:tbl>
    <w:p w14:paraId="22F452D1" w14:textId="77777777" w:rsidR="00801F4F" w:rsidRDefault="00801F4F" w:rsidP="00801F4F"/>
    <w:p w14:paraId="78DE7AC1" w14:textId="5680B6DE" w:rsidR="00801F4F" w:rsidRPr="0055655F" w:rsidRDefault="00801F4F" w:rsidP="00801F4F">
      <w:r w:rsidRPr="0055655F">
        <w:t xml:space="preserve">Con riferimento alla voce di spesa “Partecipazione a fiere internazionali” </w:t>
      </w:r>
      <w:r w:rsidRPr="002742F3">
        <w:t>l’impresa potrà giustificare la sovvenzione richiesta per questa specifica attività (A1 dell’Avviso) attraverso la presentazione del modulo/contratto sottoscritto di partecipazione alla fiera commerciale internazionale a cui intende partecipare, con indicazione dei metri quadrati richiesti e contrattualizzati.</w:t>
      </w:r>
    </w:p>
    <w:p w14:paraId="0A183FE5" w14:textId="77777777" w:rsidR="00801F4F" w:rsidRPr="0055655F" w:rsidRDefault="00801F4F" w:rsidP="00801F4F">
      <w:r w:rsidRPr="0055655F">
        <w:t xml:space="preserve">Ad ulteriore prova dell’avvenuta partecipazione alla fiera potrà essere richiesta </w:t>
      </w:r>
      <w:r w:rsidRPr="005D3613">
        <w:t>la presentazione di materiale fotografico e/o video nonché di altra documentazione giustificativa (</w:t>
      </w:r>
      <w:r w:rsidRPr="0055655F">
        <w:t xml:space="preserve">es. report di fiera, iscrizione nel catalogo, planimetrie, brochure, etc.). </w:t>
      </w:r>
    </w:p>
    <w:p w14:paraId="5F57D861" w14:textId="77777777" w:rsidR="00801F4F" w:rsidRPr="0055655F" w:rsidRDefault="00801F4F" w:rsidP="00801F4F">
      <w:r w:rsidRPr="0055655F">
        <w:t>Con riferimento alla voce di spesa “</w:t>
      </w:r>
      <w:r w:rsidRPr="005D3613">
        <w:t>Marketing” l’impresa dovrà comprovare il numero di giornate/uomo valorizzate per la realizzazione di servizi di riprese video e foto attraverso la presentazione di appositi contratti sottoscritti</w:t>
      </w:r>
      <w:r w:rsidRPr="0055655F">
        <w:t xml:space="preserve"> con i professionisti e/o le aziende fornitrici dei servizi di marketing.</w:t>
      </w:r>
    </w:p>
    <w:p w14:paraId="4814F72D" w14:textId="77777777" w:rsidR="00801F4F" w:rsidRDefault="00801F4F" w:rsidP="00801F4F">
      <w:r w:rsidRPr="0055655F">
        <w:t xml:space="preserve">Inoltre, considerando la durata media delle fiere commerciali internazionali, per un periodo pari a 3 giorni, si potrebbe, sulla base dei valori definiti nelle tabelle precedenti, procedere all’individuazione di un primo valore di “somma forfettaria” da assegnare alla singola attività “B - Marketing” in modo da disporre di un primo punto di riferimento per lo sviluppo di ulteriori tipologie di spesa dell’Avviso. </w:t>
      </w:r>
    </w:p>
    <w:p w14:paraId="675B4F70" w14:textId="77777777" w:rsidR="00801F4F" w:rsidRPr="0055655F" w:rsidRDefault="00801F4F" w:rsidP="00801F4F">
      <w:r w:rsidRPr="0055655F">
        <w:t>Pertanto, seguendo la logica dei calcoli precedenti si avrebbe (con l’applicazione degli aumenti percentuali riferiti ai costi diretti del personale e costi di produzione e delle diminuzioni legate al cofinanziamento dell’impresa):</w:t>
      </w:r>
    </w:p>
    <w:p w14:paraId="35037094" w14:textId="77777777" w:rsidR="00801F4F" w:rsidRPr="0055655F" w:rsidRDefault="00801F4F" w:rsidP="00801F4F">
      <w:pPr>
        <w:pStyle w:val="Corpotesto"/>
        <w:spacing w:before="120"/>
        <w:ind w:right="15" w:hanging="1"/>
        <w:jc w:val="both"/>
        <w:rPr>
          <w:rFonts w:ascii="Calibri" w:hAnsi="Calibri"/>
          <w:spacing w:val="-1"/>
          <w:sz w:val="10"/>
          <w:szCs w:val="20"/>
        </w:rPr>
      </w:pPr>
    </w:p>
    <w:tbl>
      <w:tblPr>
        <w:tblStyle w:val="Grigliatabella"/>
        <w:tblW w:w="0" w:type="auto"/>
        <w:jc w:val="center"/>
        <w:tblBorders>
          <w:top w:val="single" w:sz="8" w:space="0" w:color="833C0B" w:themeColor="accent2" w:themeShade="80"/>
          <w:left w:val="single" w:sz="8" w:space="0" w:color="833C0B" w:themeColor="accent2" w:themeShade="80"/>
          <w:bottom w:val="single" w:sz="8" w:space="0" w:color="833C0B" w:themeColor="accent2" w:themeShade="80"/>
          <w:right w:val="single" w:sz="8" w:space="0" w:color="833C0B" w:themeColor="accent2" w:themeShade="80"/>
          <w:insideH w:val="single" w:sz="8" w:space="0" w:color="833C0B" w:themeColor="accent2" w:themeShade="80"/>
          <w:insideV w:val="single" w:sz="8" w:space="0" w:color="833C0B" w:themeColor="accent2" w:themeShade="80"/>
        </w:tblBorders>
        <w:tblLook w:val="04A0" w:firstRow="1" w:lastRow="0" w:firstColumn="1" w:lastColumn="0" w:noHBand="0" w:noVBand="1"/>
      </w:tblPr>
      <w:tblGrid>
        <w:gridCol w:w="726"/>
        <w:gridCol w:w="684"/>
        <w:gridCol w:w="592"/>
        <w:gridCol w:w="846"/>
        <w:gridCol w:w="868"/>
        <w:gridCol w:w="868"/>
        <w:gridCol w:w="1030"/>
        <w:gridCol w:w="1191"/>
        <w:gridCol w:w="1191"/>
        <w:gridCol w:w="1215"/>
      </w:tblGrid>
      <w:tr w:rsidR="00801F4F" w:rsidRPr="006801D9" w14:paraId="57EFBD6E" w14:textId="77777777" w:rsidTr="00FA0EEC">
        <w:trPr>
          <w:jc w:val="center"/>
        </w:trPr>
        <w:tc>
          <w:tcPr>
            <w:tcW w:w="726" w:type="dxa"/>
            <w:tcBorders>
              <w:right w:val="nil"/>
            </w:tcBorders>
            <w:shd w:val="clear" w:color="auto" w:fill="2F5496" w:themeFill="accent1" w:themeFillShade="BF"/>
            <w:vAlign w:val="center"/>
          </w:tcPr>
          <w:p w14:paraId="60029F07" w14:textId="77777777" w:rsidR="00801F4F" w:rsidRPr="006801D9" w:rsidRDefault="00801F4F" w:rsidP="00FA0EEC">
            <w:pPr>
              <w:pStyle w:val="Corpotesto"/>
              <w:jc w:val="center"/>
              <w:rPr>
                <w:rFonts w:ascii="Calibri" w:hAnsi="Calibri"/>
                <w:b/>
                <w:color w:val="FFFFFF" w:themeColor="background1"/>
                <w:spacing w:val="-1"/>
                <w:sz w:val="14"/>
                <w:szCs w:val="20"/>
              </w:rPr>
            </w:pPr>
            <w:r w:rsidRPr="006801D9">
              <w:rPr>
                <w:rFonts w:ascii="Calibri" w:hAnsi="Calibri"/>
                <w:b/>
                <w:color w:val="FFFFFF" w:themeColor="background1"/>
                <w:spacing w:val="-1"/>
                <w:sz w:val="14"/>
                <w:szCs w:val="20"/>
              </w:rPr>
              <w:t>Costo standard</w:t>
            </w:r>
          </w:p>
        </w:tc>
        <w:tc>
          <w:tcPr>
            <w:tcW w:w="684" w:type="dxa"/>
            <w:tcBorders>
              <w:left w:val="nil"/>
              <w:right w:val="nil"/>
            </w:tcBorders>
            <w:shd w:val="clear" w:color="auto" w:fill="2F5496" w:themeFill="accent1" w:themeFillShade="BF"/>
            <w:vAlign w:val="center"/>
          </w:tcPr>
          <w:p w14:paraId="5F9BB166" w14:textId="77777777" w:rsidR="00801F4F" w:rsidRPr="006801D9" w:rsidRDefault="00801F4F" w:rsidP="00FA0EEC">
            <w:pPr>
              <w:pStyle w:val="Corpotesto"/>
              <w:jc w:val="center"/>
              <w:rPr>
                <w:rFonts w:ascii="Calibri" w:hAnsi="Calibri"/>
                <w:b/>
                <w:color w:val="FFFFFF" w:themeColor="background1"/>
                <w:spacing w:val="-1"/>
                <w:sz w:val="14"/>
                <w:szCs w:val="20"/>
              </w:rPr>
            </w:pPr>
            <w:r w:rsidRPr="006801D9">
              <w:rPr>
                <w:rFonts w:ascii="Calibri" w:hAnsi="Calibri"/>
                <w:b/>
                <w:color w:val="FFFFFF" w:themeColor="background1"/>
                <w:spacing w:val="-1"/>
                <w:sz w:val="14"/>
                <w:szCs w:val="20"/>
              </w:rPr>
              <w:t>Unità di misura</w:t>
            </w:r>
          </w:p>
        </w:tc>
        <w:tc>
          <w:tcPr>
            <w:tcW w:w="592" w:type="dxa"/>
            <w:tcBorders>
              <w:left w:val="nil"/>
              <w:right w:val="nil"/>
            </w:tcBorders>
            <w:shd w:val="clear" w:color="auto" w:fill="2F5496" w:themeFill="accent1" w:themeFillShade="BF"/>
            <w:vAlign w:val="center"/>
          </w:tcPr>
          <w:p w14:paraId="72F1786F" w14:textId="77777777" w:rsidR="00801F4F" w:rsidRPr="006801D9" w:rsidRDefault="00801F4F" w:rsidP="00FA0EEC">
            <w:pPr>
              <w:pStyle w:val="Corpotesto"/>
              <w:jc w:val="center"/>
              <w:rPr>
                <w:rFonts w:ascii="Calibri" w:hAnsi="Calibri"/>
                <w:b/>
                <w:color w:val="FFFFFF" w:themeColor="background1"/>
                <w:spacing w:val="-1"/>
                <w:sz w:val="14"/>
                <w:szCs w:val="20"/>
              </w:rPr>
            </w:pPr>
            <w:r w:rsidRPr="006801D9">
              <w:rPr>
                <w:rFonts w:ascii="Calibri" w:hAnsi="Calibri"/>
                <w:b/>
                <w:color w:val="FFFFFF" w:themeColor="background1"/>
                <w:spacing w:val="-1"/>
                <w:sz w:val="14"/>
                <w:szCs w:val="20"/>
              </w:rPr>
              <w:t>Valore medio in giorni</w:t>
            </w:r>
          </w:p>
        </w:tc>
        <w:tc>
          <w:tcPr>
            <w:tcW w:w="846" w:type="dxa"/>
            <w:tcBorders>
              <w:left w:val="nil"/>
              <w:right w:val="nil"/>
            </w:tcBorders>
            <w:shd w:val="clear" w:color="auto" w:fill="2F5496" w:themeFill="accent1" w:themeFillShade="BF"/>
            <w:vAlign w:val="center"/>
          </w:tcPr>
          <w:p w14:paraId="34A6271F" w14:textId="77777777" w:rsidR="00801F4F" w:rsidRPr="006801D9" w:rsidRDefault="00801F4F" w:rsidP="00FA0EEC">
            <w:pPr>
              <w:pStyle w:val="Corpotesto"/>
              <w:jc w:val="center"/>
              <w:rPr>
                <w:rFonts w:ascii="Calibri" w:hAnsi="Calibri"/>
                <w:b/>
                <w:color w:val="FFFFFF" w:themeColor="background1"/>
                <w:spacing w:val="-1"/>
                <w:sz w:val="14"/>
                <w:szCs w:val="20"/>
              </w:rPr>
            </w:pPr>
            <w:r w:rsidRPr="006801D9">
              <w:rPr>
                <w:rFonts w:ascii="Calibri" w:hAnsi="Calibri"/>
                <w:b/>
                <w:color w:val="FFFFFF" w:themeColor="background1"/>
                <w:spacing w:val="-1"/>
                <w:sz w:val="14"/>
                <w:szCs w:val="20"/>
              </w:rPr>
              <w:t>Costo diretto</w:t>
            </w:r>
          </w:p>
        </w:tc>
        <w:tc>
          <w:tcPr>
            <w:tcW w:w="868" w:type="dxa"/>
            <w:tcBorders>
              <w:left w:val="nil"/>
              <w:right w:val="nil"/>
            </w:tcBorders>
            <w:shd w:val="clear" w:color="auto" w:fill="2F5496" w:themeFill="accent1" w:themeFillShade="BF"/>
          </w:tcPr>
          <w:p w14:paraId="6537A035" w14:textId="77777777" w:rsidR="00801F4F" w:rsidRPr="006801D9" w:rsidRDefault="00801F4F" w:rsidP="00FA0EEC">
            <w:pPr>
              <w:pStyle w:val="Corpotesto"/>
              <w:jc w:val="center"/>
              <w:rPr>
                <w:rFonts w:ascii="Calibri" w:hAnsi="Calibri"/>
                <w:b/>
                <w:color w:val="FFFFFF" w:themeColor="background1"/>
                <w:spacing w:val="-1"/>
                <w:sz w:val="14"/>
                <w:szCs w:val="20"/>
              </w:rPr>
            </w:pPr>
            <w:r w:rsidRPr="006801D9">
              <w:rPr>
                <w:rFonts w:ascii="Calibri" w:hAnsi="Calibri"/>
                <w:b/>
                <w:color w:val="FFFFFF" w:themeColor="background1"/>
                <w:spacing w:val="-1"/>
                <w:sz w:val="14"/>
                <w:szCs w:val="20"/>
              </w:rPr>
              <w:t>Costo diretto del personale (20% dei costi diretti)</w:t>
            </w:r>
          </w:p>
        </w:tc>
        <w:tc>
          <w:tcPr>
            <w:tcW w:w="868" w:type="dxa"/>
            <w:tcBorders>
              <w:left w:val="nil"/>
              <w:right w:val="nil"/>
            </w:tcBorders>
            <w:shd w:val="clear" w:color="auto" w:fill="2F5496" w:themeFill="accent1" w:themeFillShade="BF"/>
            <w:vAlign w:val="center"/>
          </w:tcPr>
          <w:p w14:paraId="220A0A31" w14:textId="77777777" w:rsidR="00801F4F" w:rsidRPr="006801D9" w:rsidRDefault="00801F4F" w:rsidP="00FA0EEC">
            <w:pPr>
              <w:pStyle w:val="Corpotesto"/>
              <w:jc w:val="center"/>
              <w:rPr>
                <w:rFonts w:ascii="Calibri" w:hAnsi="Calibri"/>
                <w:b/>
                <w:color w:val="FFFFFF" w:themeColor="background1"/>
                <w:spacing w:val="-1"/>
                <w:sz w:val="14"/>
                <w:szCs w:val="20"/>
              </w:rPr>
            </w:pPr>
            <w:r w:rsidRPr="006801D9">
              <w:rPr>
                <w:rFonts w:ascii="Calibri" w:hAnsi="Calibri"/>
                <w:b/>
                <w:color w:val="FFFFFF" w:themeColor="background1"/>
                <w:spacing w:val="-1"/>
                <w:sz w:val="14"/>
                <w:szCs w:val="20"/>
              </w:rPr>
              <w:t>Totale costi</w:t>
            </w:r>
          </w:p>
        </w:tc>
        <w:tc>
          <w:tcPr>
            <w:tcW w:w="868" w:type="dxa"/>
            <w:tcBorders>
              <w:left w:val="nil"/>
              <w:right w:val="nil"/>
            </w:tcBorders>
            <w:shd w:val="clear" w:color="auto" w:fill="2F5496" w:themeFill="accent1" w:themeFillShade="BF"/>
            <w:vAlign w:val="center"/>
          </w:tcPr>
          <w:p w14:paraId="7635B3B8" w14:textId="77777777" w:rsidR="00801F4F" w:rsidRPr="006801D9" w:rsidRDefault="00801F4F" w:rsidP="00FA0EEC">
            <w:pPr>
              <w:pStyle w:val="Corpotesto"/>
              <w:jc w:val="center"/>
              <w:rPr>
                <w:rFonts w:ascii="Calibri" w:hAnsi="Calibri"/>
                <w:b/>
                <w:color w:val="FFFFFF" w:themeColor="background1"/>
                <w:spacing w:val="-1"/>
                <w:sz w:val="14"/>
                <w:szCs w:val="20"/>
              </w:rPr>
            </w:pPr>
            <w:r w:rsidRPr="006801D9">
              <w:rPr>
                <w:rFonts w:ascii="Calibri" w:hAnsi="Calibri"/>
                <w:b/>
                <w:color w:val="FFFFFF" w:themeColor="background1"/>
                <w:spacing w:val="-1"/>
                <w:sz w:val="14"/>
                <w:szCs w:val="20"/>
              </w:rPr>
              <w:t>Adeguamento costi</w:t>
            </w:r>
          </w:p>
          <w:p w14:paraId="053C8359" w14:textId="77777777" w:rsidR="00801F4F" w:rsidRPr="006801D9" w:rsidRDefault="00801F4F" w:rsidP="00FA0EEC">
            <w:pPr>
              <w:pStyle w:val="Corpotesto"/>
              <w:jc w:val="center"/>
              <w:rPr>
                <w:rFonts w:ascii="Calibri" w:hAnsi="Calibri"/>
                <w:b/>
                <w:color w:val="FFFFFF" w:themeColor="background1"/>
                <w:spacing w:val="-1"/>
                <w:sz w:val="14"/>
                <w:szCs w:val="20"/>
              </w:rPr>
            </w:pPr>
            <w:r w:rsidRPr="006801D9">
              <w:rPr>
                <w:rFonts w:ascii="Calibri" w:hAnsi="Calibri"/>
                <w:b/>
                <w:color w:val="FFFFFF" w:themeColor="background1"/>
                <w:spacing w:val="-1"/>
                <w:sz w:val="14"/>
                <w:szCs w:val="20"/>
              </w:rPr>
              <w:t xml:space="preserve"> +10%</w:t>
            </w:r>
          </w:p>
        </w:tc>
        <w:tc>
          <w:tcPr>
            <w:tcW w:w="1191" w:type="dxa"/>
            <w:tcBorders>
              <w:left w:val="nil"/>
              <w:right w:val="nil"/>
            </w:tcBorders>
            <w:shd w:val="clear" w:color="auto" w:fill="2F5496" w:themeFill="accent1" w:themeFillShade="BF"/>
            <w:vAlign w:val="center"/>
          </w:tcPr>
          <w:p w14:paraId="7D879737" w14:textId="77777777" w:rsidR="00801F4F" w:rsidRPr="006801D9" w:rsidRDefault="00801F4F" w:rsidP="00FA0EEC">
            <w:pPr>
              <w:pStyle w:val="Corpotesto"/>
              <w:jc w:val="center"/>
              <w:rPr>
                <w:rFonts w:ascii="Calibri" w:hAnsi="Calibri"/>
                <w:b/>
                <w:color w:val="FFFFFF" w:themeColor="background1"/>
                <w:spacing w:val="-1"/>
                <w:sz w:val="14"/>
                <w:szCs w:val="20"/>
              </w:rPr>
            </w:pPr>
            <w:r w:rsidRPr="006801D9">
              <w:rPr>
                <w:rFonts w:ascii="Calibri" w:hAnsi="Calibri"/>
                <w:b/>
                <w:color w:val="FFFFFF" w:themeColor="background1"/>
                <w:spacing w:val="-1"/>
                <w:sz w:val="14"/>
                <w:szCs w:val="20"/>
              </w:rPr>
              <w:t>Totale parziale</w:t>
            </w:r>
          </w:p>
        </w:tc>
        <w:tc>
          <w:tcPr>
            <w:tcW w:w="1191" w:type="dxa"/>
            <w:tcBorders>
              <w:left w:val="nil"/>
              <w:right w:val="nil"/>
            </w:tcBorders>
            <w:shd w:val="clear" w:color="auto" w:fill="2F5496" w:themeFill="accent1" w:themeFillShade="BF"/>
            <w:vAlign w:val="center"/>
          </w:tcPr>
          <w:p w14:paraId="55C1076C" w14:textId="77777777" w:rsidR="00801F4F" w:rsidRPr="006801D9" w:rsidRDefault="00801F4F" w:rsidP="00FA0EEC">
            <w:pPr>
              <w:pStyle w:val="Corpotesto"/>
              <w:jc w:val="center"/>
              <w:rPr>
                <w:rFonts w:ascii="Calibri" w:hAnsi="Calibri"/>
                <w:b/>
                <w:color w:val="FFFFFF" w:themeColor="background1"/>
                <w:spacing w:val="-1"/>
                <w:sz w:val="14"/>
                <w:szCs w:val="20"/>
              </w:rPr>
            </w:pPr>
            <w:r w:rsidRPr="006801D9">
              <w:rPr>
                <w:rFonts w:ascii="Calibri" w:hAnsi="Calibri"/>
                <w:b/>
                <w:color w:val="FFFFFF" w:themeColor="background1"/>
                <w:spacing w:val="-1"/>
                <w:sz w:val="14"/>
                <w:szCs w:val="20"/>
              </w:rPr>
              <w:t>Cofinanziamento impresa -50%</w:t>
            </w:r>
          </w:p>
        </w:tc>
        <w:tc>
          <w:tcPr>
            <w:tcW w:w="1215" w:type="dxa"/>
            <w:tcBorders>
              <w:left w:val="nil"/>
            </w:tcBorders>
            <w:shd w:val="clear" w:color="auto" w:fill="2F5496" w:themeFill="accent1" w:themeFillShade="BF"/>
            <w:vAlign w:val="center"/>
          </w:tcPr>
          <w:p w14:paraId="6946B08B" w14:textId="77777777" w:rsidR="00801F4F" w:rsidRPr="006801D9" w:rsidRDefault="00801F4F" w:rsidP="00FA0EEC">
            <w:pPr>
              <w:pStyle w:val="Corpotesto"/>
              <w:jc w:val="center"/>
              <w:rPr>
                <w:rFonts w:ascii="Calibri" w:hAnsi="Calibri"/>
                <w:b/>
                <w:color w:val="FFFFFF" w:themeColor="background1"/>
                <w:spacing w:val="-1"/>
                <w:sz w:val="14"/>
                <w:szCs w:val="20"/>
              </w:rPr>
            </w:pPr>
            <w:r w:rsidRPr="006801D9">
              <w:rPr>
                <w:rFonts w:ascii="Calibri" w:hAnsi="Calibri"/>
                <w:b/>
                <w:color w:val="FFFFFF" w:themeColor="background1"/>
                <w:spacing w:val="-1"/>
                <w:sz w:val="14"/>
                <w:szCs w:val="20"/>
              </w:rPr>
              <w:t>Somma forfettaria proposta (con arrotondamento)</w:t>
            </w:r>
          </w:p>
        </w:tc>
      </w:tr>
      <w:tr w:rsidR="00801F4F" w:rsidRPr="0055655F" w14:paraId="6AF24A72" w14:textId="77777777" w:rsidTr="00FA0EEC">
        <w:trPr>
          <w:jc w:val="center"/>
        </w:trPr>
        <w:tc>
          <w:tcPr>
            <w:tcW w:w="726" w:type="dxa"/>
            <w:vAlign w:val="center"/>
          </w:tcPr>
          <w:p w14:paraId="2343053F" w14:textId="77777777" w:rsidR="00801F4F" w:rsidRPr="0055655F" w:rsidRDefault="00801F4F" w:rsidP="00FA0EEC">
            <w:pPr>
              <w:pStyle w:val="Corpotesto"/>
              <w:jc w:val="center"/>
              <w:rPr>
                <w:rFonts w:ascii="Calibri" w:hAnsi="Calibri"/>
                <w:spacing w:val="-1"/>
                <w:sz w:val="18"/>
                <w:szCs w:val="20"/>
              </w:rPr>
            </w:pPr>
            <w:r w:rsidRPr="0055655F">
              <w:rPr>
                <w:rFonts w:ascii="Calibri" w:hAnsi="Calibri"/>
                <w:spacing w:val="-1"/>
                <w:sz w:val="18"/>
                <w:szCs w:val="20"/>
              </w:rPr>
              <w:t>390,00</w:t>
            </w:r>
          </w:p>
        </w:tc>
        <w:tc>
          <w:tcPr>
            <w:tcW w:w="684" w:type="dxa"/>
            <w:vAlign w:val="center"/>
          </w:tcPr>
          <w:p w14:paraId="5D2D0505" w14:textId="77777777" w:rsidR="00801F4F" w:rsidRPr="0055655F" w:rsidRDefault="00801F4F" w:rsidP="00FA0EEC">
            <w:pPr>
              <w:pStyle w:val="Corpotesto"/>
              <w:jc w:val="center"/>
              <w:rPr>
                <w:rFonts w:ascii="Calibri" w:hAnsi="Calibri"/>
                <w:spacing w:val="-1"/>
                <w:sz w:val="18"/>
                <w:szCs w:val="20"/>
              </w:rPr>
            </w:pPr>
            <w:r w:rsidRPr="0055655F">
              <w:rPr>
                <w:rFonts w:ascii="Calibri" w:hAnsi="Calibri"/>
                <w:spacing w:val="-1"/>
                <w:sz w:val="18"/>
                <w:szCs w:val="20"/>
              </w:rPr>
              <w:t>giorno</w:t>
            </w:r>
          </w:p>
        </w:tc>
        <w:tc>
          <w:tcPr>
            <w:tcW w:w="592" w:type="dxa"/>
            <w:vAlign w:val="center"/>
          </w:tcPr>
          <w:p w14:paraId="2326876E" w14:textId="77777777" w:rsidR="00801F4F" w:rsidRPr="0055655F" w:rsidRDefault="00801F4F" w:rsidP="00FA0EEC">
            <w:pPr>
              <w:pStyle w:val="Corpotesto"/>
              <w:jc w:val="center"/>
              <w:rPr>
                <w:rFonts w:ascii="Calibri" w:hAnsi="Calibri"/>
                <w:spacing w:val="-1"/>
                <w:sz w:val="18"/>
                <w:szCs w:val="20"/>
              </w:rPr>
            </w:pPr>
            <w:r w:rsidRPr="0055655F">
              <w:rPr>
                <w:rFonts w:ascii="Calibri" w:hAnsi="Calibri"/>
                <w:spacing w:val="-1"/>
                <w:sz w:val="18"/>
                <w:szCs w:val="20"/>
              </w:rPr>
              <w:t>3</w:t>
            </w:r>
          </w:p>
        </w:tc>
        <w:tc>
          <w:tcPr>
            <w:tcW w:w="846" w:type="dxa"/>
            <w:vAlign w:val="center"/>
          </w:tcPr>
          <w:p w14:paraId="18264F0B" w14:textId="77777777" w:rsidR="00801F4F" w:rsidRPr="0055655F" w:rsidRDefault="00801F4F" w:rsidP="00FA0EEC">
            <w:pPr>
              <w:pStyle w:val="Corpotesto"/>
              <w:jc w:val="center"/>
              <w:rPr>
                <w:rFonts w:ascii="Calibri" w:hAnsi="Calibri"/>
                <w:spacing w:val="-1"/>
                <w:sz w:val="18"/>
                <w:szCs w:val="20"/>
              </w:rPr>
            </w:pPr>
            <w:r w:rsidRPr="0055655F">
              <w:rPr>
                <w:rFonts w:ascii="Calibri" w:hAnsi="Calibri"/>
                <w:spacing w:val="-1"/>
                <w:sz w:val="18"/>
                <w:szCs w:val="20"/>
              </w:rPr>
              <w:t>1.170,00</w:t>
            </w:r>
          </w:p>
        </w:tc>
        <w:tc>
          <w:tcPr>
            <w:tcW w:w="868" w:type="dxa"/>
          </w:tcPr>
          <w:p w14:paraId="10B328CC" w14:textId="77777777" w:rsidR="00801F4F" w:rsidRPr="0055655F" w:rsidRDefault="00801F4F" w:rsidP="00FA0EEC">
            <w:pPr>
              <w:pStyle w:val="Corpotesto"/>
              <w:jc w:val="center"/>
              <w:rPr>
                <w:rFonts w:ascii="Calibri" w:hAnsi="Calibri"/>
                <w:spacing w:val="-1"/>
                <w:sz w:val="18"/>
                <w:szCs w:val="20"/>
              </w:rPr>
            </w:pPr>
            <w:r w:rsidRPr="0055655F">
              <w:rPr>
                <w:rFonts w:ascii="Calibri" w:hAnsi="Calibri"/>
                <w:spacing w:val="-1"/>
                <w:sz w:val="18"/>
                <w:szCs w:val="20"/>
              </w:rPr>
              <w:t>234,00</w:t>
            </w:r>
          </w:p>
        </w:tc>
        <w:tc>
          <w:tcPr>
            <w:tcW w:w="868" w:type="dxa"/>
          </w:tcPr>
          <w:p w14:paraId="4430DEBE" w14:textId="77777777" w:rsidR="00801F4F" w:rsidRPr="0055655F" w:rsidRDefault="00801F4F" w:rsidP="00FA0EEC">
            <w:pPr>
              <w:pStyle w:val="Corpotesto"/>
              <w:jc w:val="center"/>
              <w:rPr>
                <w:rFonts w:ascii="Calibri" w:hAnsi="Calibri"/>
                <w:spacing w:val="-1"/>
                <w:sz w:val="18"/>
                <w:szCs w:val="20"/>
              </w:rPr>
            </w:pPr>
            <w:r w:rsidRPr="0055655F">
              <w:rPr>
                <w:rFonts w:ascii="Calibri" w:hAnsi="Calibri"/>
                <w:spacing w:val="-1"/>
                <w:sz w:val="18"/>
                <w:szCs w:val="20"/>
              </w:rPr>
              <w:t>1.404,00</w:t>
            </w:r>
          </w:p>
        </w:tc>
        <w:tc>
          <w:tcPr>
            <w:tcW w:w="868" w:type="dxa"/>
            <w:vAlign w:val="center"/>
          </w:tcPr>
          <w:p w14:paraId="21DE078D" w14:textId="77777777" w:rsidR="00801F4F" w:rsidRPr="0055655F" w:rsidRDefault="00801F4F" w:rsidP="00FA0EEC">
            <w:pPr>
              <w:pStyle w:val="Corpotesto"/>
              <w:jc w:val="center"/>
              <w:rPr>
                <w:rFonts w:ascii="Calibri" w:hAnsi="Calibri"/>
                <w:spacing w:val="-1"/>
                <w:sz w:val="18"/>
                <w:szCs w:val="20"/>
              </w:rPr>
            </w:pPr>
            <w:r w:rsidRPr="0055655F">
              <w:rPr>
                <w:rFonts w:ascii="Calibri" w:hAnsi="Calibri"/>
                <w:spacing w:val="-1"/>
                <w:sz w:val="18"/>
                <w:szCs w:val="20"/>
              </w:rPr>
              <w:t>140,4</w:t>
            </w:r>
          </w:p>
        </w:tc>
        <w:tc>
          <w:tcPr>
            <w:tcW w:w="1191" w:type="dxa"/>
          </w:tcPr>
          <w:p w14:paraId="5DD46E9C" w14:textId="77777777" w:rsidR="00801F4F" w:rsidRPr="0055655F" w:rsidRDefault="00801F4F" w:rsidP="00FA0EEC">
            <w:pPr>
              <w:pStyle w:val="Corpotesto"/>
              <w:jc w:val="center"/>
              <w:rPr>
                <w:rFonts w:ascii="Calibri" w:hAnsi="Calibri"/>
                <w:spacing w:val="-1"/>
                <w:sz w:val="18"/>
                <w:szCs w:val="20"/>
              </w:rPr>
            </w:pPr>
            <w:r w:rsidRPr="0055655F">
              <w:rPr>
                <w:rFonts w:ascii="Calibri" w:hAnsi="Calibri"/>
                <w:spacing w:val="-1"/>
                <w:sz w:val="18"/>
                <w:szCs w:val="20"/>
              </w:rPr>
              <w:t>1.544,40</w:t>
            </w:r>
          </w:p>
        </w:tc>
        <w:tc>
          <w:tcPr>
            <w:tcW w:w="1191" w:type="dxa"/>
            <w:vAlign w:val="center"/>
          </w:tcPr>
          <w:p w14:paraId="39A42DF7" w14:textId="77777777" w:rsidR="00801F4F" w:rsidRPr="0055655F" w:rsidRDefault="00801F4F" w:rsidP="00FA0EEC">
            <w:pPr>
              <w:pStyle w:val="Corpotesto"/>
              <w:jc w:val="center"/>
              <w:rPr>
                <w:rFonts w:ascii="Calibri" w:hAnsi="Calibri"/>
                <w:spacing w:val="-1"/>
                <w:sz w:val="18"/>
                <w:szCs w:val="20"/>
              </w:rPr>
            </w:pPr>
            <w:r w:rsidRPr="0055655F">
              <w:rPr>
                <w:rFonts w:ascii="Calibri" w:hAnsi="Calibri"/>
                <w:spacing w:val="-1"/>
                <w:sz w:val="18"/>
                <w:szCs w:val="20"/>
              </w:rPr>
              <w:t>772,20</w:t>
            </w:r>
          </w:p>
        </w:tc>
        <w:tc>
          <w:tcPr>
            <w:tcW w:w="1215" w:type="dxa"/>
            <w:vAlign w:val="center"/>
          </w:tcPr>
          <w:p w14:paraId="6A8427A8" w14:textId="77777777" w:rsidR="00801F4F" w:rsidRPr="0055655F" w:rsidRDefault="00801F4F" w:rsidP="00FA0EEC">
            <w:pPr>
              <w:pStyle w:val="Corpotesto"/>
              <w:keepNext/>
              <w:jc w:val="center"/>
              <w:rPr>
                <w:rFonts w:ascii="Calibri" w:hAnsi="Calibri"/>
                <w:b/>
                <w:spacing w:val="-1"/>
                <w:sz w:val="18"/>
                <w:szCs w:val="20"/>
              </w:rPr>
            </w:pPr>
            <w:r w:rsidRPr="0055655F">
              <w:rPr>
                <w:rFonts w:ascii="Calibri" w:hAnsi="Calibri"/>
                <w:b/>
                <w:spacing w:val="-1"/>
                <w:sz w:val="18"/>
                <w:szCs w:val="20"/>
              </w:rPr>
              <w:t>€ 800,00</w:t>
            </w:r>
          </w:p>
        </w:tc>
      </w:tr>
    </w:tbl>
    <w:p w14:paraId="7768043F" w14:textId="1219F28C" w:rsidR="00801F4F" w:rsidRPr="0013313E" w:rsidRDefault="00801F4F" w:rsidP="00801F4F">
      <w:pPr>
        <w:pStyle w:val="Titolo4"/>
      </w:pPr>
      <w:bookmarkStart w:id="25" w:name="_Toc83204182"/>
      <w:bookmarkStart w:id="26" w:name="_Toc149065975"/>
      <w:bookmarkStart w:id="27" w:name="_Toc149133888"/>
      <w:r w:rsidRPr="0013313E">
        <w:t>Avvisi pubblici</w:t>
      </w:r>
      <w:bookmarkEnd w:id="25"/>
      <w:bookmarkEnd w:id="26"/>
      <w:bookmarkEnd w:id="27"/>
    </w:p>
    <w:p w14:paraId="6C77EF47" w14:textId="77777777" w:rsidR="00801F4F" w:rsidRPr="0055655F" w:rsidRDefault="00801F4F" w:rsidP="00801F4F">
      <w:pPr>
        <w:spacing w:after="240"/>
      </w:pPr>
      <w:r w:rsidRPr="0055655F">
        <w:t>Come già riportato nelle premesse,</w:t>
      </w:r>
      <w:r>
        <w:t xml:space="preserve"> relativamente al caso di studio</w:t>
      </w:r>
      <w:r w:rsidRPr="0055655F">
        <w:t xml:space="preserve"> la Sezione ha dato vita a due diverse procedure volte all’assegnazione ed erogazione di incentivi (voucher) alle PMI per la partecipazione a manifestazioni fieristiche commerciali internazionali in Italia e all’estero. Dall’analisi delle tipologie delle attività ammesse a finanziamento, intensità di aiuto prescritte e importi concedibili emerge il seguente prospetto di sintesi:</w:t>
      </w:r>
    </w:p>
    <w:tbl>
      <w:tblPr>
        <w:tblStyle w:val="Grigliatabella"/>
        <w:tblW w:w="9775" w:type="dxa"/>
        <w:jc w:val="center"/>
        <w:tblLook w:val="04A0" w:firstRow="1" w:lastRow="0" w:firstColumn="1" w:lastColumn="0" w:noHBand="0" w:noVBand="1"/>
      </w:tblPr>
      <w:tblGrid>
        <w:gridCol w:w="615"/>
        <w:gridCol w:w="5905"/>
        <w:gridCol w:w="749"/>
        <w:gridCol w:w="1234"/>
        <w:gridCol w:w="1276"/>
      </w:tblGrid>
      <w:tr w:rsidR="00801F4F" w:rsidRPr="006343CE" w14:paraId="15381A8F" w14:textId="77777777" w:rsidTr="00FA0EEC">
        <w:trPr>
          <w:trHeight w:val="327"/>
          <w:jc w:val="center"/>
        </w:trPr>
        <w:tc>
          <w:tcPr>
            <w:tcW w:w="611" w:type="dxa"/>
            <w:noWrap/>
            <w:vAlign w:val="center"/>
            <w:hideMark/>
          </w:tcPr>
          <w:p w14:paraId="50236383" w14:textId="77777777" w:rsidR="00801F4F" w:rsidRPr="006343CE" w:rsidRDefault="00801F4F" w:rsidP="00FA0EEC">
            <w:pPr>
              <w:pStyle w:val="Corpotesto"/>
              <w:ind w:right="-39"/>
              <w:jc w:val="center"/>
              <w:rPr>
                <w:rFonts w:ascii="Titillium Web" w:hAnsi="Titillium Web"/>
                <w:spacing w:val="-1"/>
                <w:sz w:val="14"/>
                <w:szCs w:val="14"/>
              </w:rPr>
            </w:pPr>
            <w:r w:rsidRPr="006343CE">
              <w:rPr>
                <w:rFonts w:ascii="Titillium Web" w:hAnsi="Titillium Web"/>
                <w:b/>
                <w:spacing w:val="-1"/>
                <w:sz w:val="14"/>
                <w:szCs w:val="14"/>
              </w:rPr>
              <w:t>Avviso</w:t>
            </w:r>
          </w:p>
        </w:tc>
        <w:tc>
          <w:tcPr>
            <w:tcW w:w="5905" w:type="dxa"/>
            <w:noWrap/>
            <w:vAlign w:val="center"/>
            <w:hideMark/>
          </w:tcPr>
          <w:p w14:paraId="78AD8801" w14:textId="77777777" w:rsidR="00801F4F" w:rsidRPr="006343CE" w:rsidRDefault="00801F4F" w:rsidP="00FA0EEC">
            <w:pPr>
              <w:pStyle w:val="Corpotesto"/>
              <w:ind w:left="215" w:right="227"/>
              <w:jc w:val="center"/>
              <w:rPr>
                <w:rFonts w:ascii="Titillium Web" w:hAnsi="Titillium Web"/>
                <w:b/>
                <w:spacing w:val="-1"/>
                <w:sz w:val="14"/>
                <w:szCs w:val="14"/>
              </w:rPr>
            </w:pPr>
            <w:r w:rsidRPr="006343CE">
              <w:rPr>
                <w:rFonts w:ascii="Titillium Web" w:hAnsi="Titillium Web"/>
                <w:b/>
                <w:spacing w:val="-1"/>
                <w:sz w:val="14"/>
                <w:szCs w:val="14"/>
              </w:rPr>
              <w:t>Tipologia spese ammissibili</w:t>
            </w:r>
          </w:p>
        </w:tc>
        <w:tc>
          <w:tcPr>
            <w:tcW w:w="749" w:type="dxa"/>
            <w:noWrap/>
            <w:vAlign w:val="center"/>
            <w:hideMark/>
          </w:tcPr>
          <w:p w14:paraId="34479263" w14:textId="77777777" w:rsidR="00801F4F" w:rsidRPr="006343CE" w:rsidRDefault="00801F4F" w:rsidP="00FA0EEC">
            <w:pPr>
              <w:pStyle w:val="Corpotesto"/>
              <w:ind w:right="-63"/>
              <w:jc w:val="center"/>
              <w:rPr>
                <w:rFonts w:ascii="Titillium Web" w:hAnsi="Titillium Web"/>
                <w:b/>
                <w:spacing w:val="-1"/>
                <w:sz w:val="14"/>
                <w:szCs w:val="14"/>
              </w:rPr>
            </w:pPr>
            <w:r w:rsidRPr="006343CE">
              <w:rPr>
                <w:rFonts w:ascii="Titillium Web" w:hAnsi="Titillium Web"/>
                <w:b/>
                <w:spacing w:val="-1"/>
                <w:sz w:val="14"/>
                <w:szCs w:val="14"/>
              </w:rPr>
              <w:t>Intensità aiuto</w:t>
            </w:r>
          </w:p>
        </w:tc>
        <w:tc>
          <w:tcPr>
            <w:tcW w:w="1234" w:type="dxa"/>
            <w:vAlign w:val="center"/>
            <w:hideMark/>
          </w:tcPr>
          <w:p w14:paraId="38C7BBE7" w14:textId="77777777" w:rsidR="00801F4F" w:rsidRPr="006343CE" w:rsidRDefault="00801F4F" w:rsidP="00FA0EEC">
            <w:pPr>
              <w:pStyle w:val="Corpotesto"/>
              <w:ind w:right="-63"/>
              <w:jc w:val="center"/>
              <w:rPr>
                <w:rFonts w:ascii="Titillium Web" w:hAnsi="Titillium Web"/>
                <w:b/>
                <w:spacing w:val="-1"/>
                <w:sz w:val="14"/>
                <w:szCs w:val="14"/>
              </w:rPr>
            </w:pPr>
            <w:r w:rsidRPr="006343CE">
              <w:rPr>
                <w:rFonts w:ascii="Titillium Web" w:hAnsi="Titillium Web"/>
                <w:b/>
                <w:spacing w:val="-1"/>
                <w:sz w:val="14"/>
                <w:szCs w:val="14"/>
              </w:rPr>
              <w:t>Importo massimo concedibile paesi UE (Italia compresa)</w:t>
            </w:r>
          </w:p>
        </w:tc>
        <w:tc>
          <w:tcPr>
            <w:tcW w:w="1276" w:type="dxa"/>
            <w:vAlign w:val="center"/>
            <w:hideMark/>
          </w:tcPr>
          <w:p w14:paraId="618061E3" w14:textId="77777777" w:rsidR="00801F4F" w:rsidRPr="006343CE" w:rsidRDefault="00801F4F" w:rsidP="00FA0EEC">
            <w:pPr>
              <w:pStyle w:val="Corpotesto"/>
              <w:ind w:right="-63"/>
              <w:jc w:val="center"/>
              <w:rPr>
                <w:rFonts w:ascii="Titillium Web" w:hAnsi="Titillium Web"/>
                <w:b/>
                <w:spacing w:val="-1"/>
                <w:sz w:val="14"/>
                <w:szCs w:val="14"/>
              </w:rPr>
            </w:pPr>
            <w:r w:rsidRPr="006343CE">
              <w:rPr>
                <w:rFonts w:ascii="Titillium Web" w:hAnsi="Titillium Web"/>
                <w:b/>
                <w:spacing w:val="-1"/>
                <w:sz w:val="14"/>
                <w:szCs w:val="14"/>
              </w:rPr>
              <w:t>Importo massimo concedibile paesi extra UE</w:t>
            </w:r>
          </w:p>
        </w:tc>
      </w:tr>
      <w:tr w:rsidR="00801F4F" w:rsidRPr="006343CE" w14:paraId="5EECCD77" w14:textId="77777777" w:rsidTr="00FA0EEC">
        <w:trPr>
          <w:cantSplit/>
          <w:trHeight w:val="397"/>
          <w:jc w:val="center"/>
        </w:trPr>
        <w:tc>
          <w:tcPr>
            <w:tcW w:w="611" w:type="dxa"/>
            <w:vMerge w:val="restart"/>
            <w:textDirection w:val="btLr"/>
            <w:vAlign w:val="center"/>
            <w:hideMark/>
          </w:tcPr>
          <w:p w14:paraId="245F924E" w14:textId="77777777" w:rsidR="00801F4F" w:rsidRPr="006343CE" w:rsidRDefault="00801F4F" w:rsidP="00FA0EEC">
            <w:pPr>
              <w:ind w:left="113" w:right="113"/>
              <w:jc w:val="center"/>
              <w:rPr>
                <w:spacing w:val="-1"/>
                <w:sz w:val="14"/>
                <w:szCs w:val="14"/>
              </w:rPr>
            </w:pPr>
            <w:r w:rsidRPr="006343CE">
              <w:rPr>
                <w:spacing w:val="-1"/>
                <w:sz w:val="14"/>
                <w:szCs w:val="14"/>
              </w:rPr>
              <w:t>Procedura 1</w:t>
            </w:r>
          </w:p>
        </w:tc>
        <w:tc>
          <w:tcPr>
            <w:tcW w:w="5905" w:type="dxa"/>
            <w:vAlign w:val="center"/>
            <w:hideMark/>
          </w:tcPr>
          <w:p w14:paraId="017C7037" w14:textId="77777777" w:rsidR="00801F4F" w:rsidRPr="006343CE" w:rsidRDefault="00801F4F" w:rsidP="00FA0EEC">
            <w:pPr>
              <w:pStyle w:val="Corpotesto"/>
              <w:rPr>
                <w:rFonts w:ascii="Titillium Web" w:hAnsi="Titillium Web"/>
                <w:spacing w:val="-1"/>
                <w:sz w:val="14"/>
                <w:szCs w:val="14"/>
              </w:rPr>
            </w:pPr>
            <w:r w:rsidRPr="006343CE">
              <w:rPr>
                <w:rFonts w:ascii="Titillium Web" w:hAnsi="Titillium Web"/>
                <w:spacing w:val="-1"/>
                <w:sz w:val="14"/>
                <w:szCs w:val="14"/>
              </w:rPr>
              <w:t>Spese per l'affitto di spazi espositivi (ivi compresi eventuali oneri di iscrizione, diritti fissi, etc.)</w:t>
            </w:r>
          </w:p>
        </w:tc>
        <w:tc>
          <w:tcPr>
            <w:tcW w:w="749" w:type="dxa"/>
            <w:vMerge w:val="restart"/>
            <w:noWrap/>
            <w:vAlign w:val="center"/>
            <w:hideMark/>
          </w:tcPr>
          <w:p w14:paraId="1DE99219" w14:textId="77777777" w:rsidR="00801F4F" w:rsidRPr="006343CE" w:rsidRDefault="00801F4F" w:rsidP="00FA0EEC">
            <w:pPr>
              <w:pStyle w:val="Corpotesto"/>
              <w:jc w:val="center"/>
              <w:rPr>
                <w:rFonts w:ascii="Titillium Web" w:hAnsi="Titillium Web"/>
                <w:b/>
                <w:spacing w:val="-1"/>
                <w:sz w:val="14"/>
                <w:szCs w:val="14"/>
              </w:rPr>
            </w:pPr>
            <w:r w:rsidRPr="006343CE">
              <w:rPr>
                <w:rFonts w:ascii="Titillium Web" w:hAnsi="Titillium Web"/>
                <w:b/>
                <w:spacing w:val="-1"/>
                <w:sz w:val="14"/>
                <w:szCs w:val="14"/>
              </w:rPr>
              <w:t>80%</w:t>
            </w:r>
          </w:p>
        </w:tc>
        <w:tc>
          <w:tcPr>
            <w:tcW w:w="1234" w:type="dxa"/>
            <w:vMerge w:val="restart"/>
            <w:noWrap/>
            <w:vAlign w:val="center"/>
            <w:hideMark/>
          </w:tcPr>
          <w:p w14:paraId="249691B1" w14:textId="77777777" w:rsidR="00801F4F" w:rsidRPr="006343CE" w:rsidRDefault="00801F4F" w:rsidP="00FA0EEC">
            <w:pPr>
              <w:pStyle w:val="Corpotesto"/>
              <w:jc w:val="center"/>
              <w:rPr>
                <w:rFonts w:ascii="Titillium Web" w:hAnsi="Titillium Web"/>
                <w:b/>
                <w:spacing w:val="-1"/>
                <w:sz w:val="14"/>
                <w:szCs w:val="14"/>
              </w:rPr>
            </w:pPr>
            <w:r w:rsidRPr="006343CE">
              <w:rPr>
                <w:rFonts w:ascii="Titillium Web" w:hAnsi="Titillium Web"/>
                <w:b/>
                <w:spacing w:val="-1"/>
                <w:sz w:val="14"/>
                <w:szCs w:val="14"/>
              </w:rPr>
              <w:t>3.000,00</w:t>
            </w:r>
          </w:p>
        </w:tc>
        <w:tc>
          <w:tcPr>
            <w:tcW w:w="1276" w:type="dxa"/>
            <w:vMerge w:val="restart"/>
            <w:noWrap/>
            <w:vAlign w:val="center"/>
            <w:hideMark/>
          </w:tcPr>
          <w:p w14:paraId="3F5FF2A7" w14:textId="77777777" w:rsidR="00801F4F" w:rsidRPr="006343CE" w:rsidRDefault="00801F4F" w:rsidP="00FA0EEC">
            <w:pPr>
              <w:pStyle w:val="Corpotesto"/>
              <w:jc w:val="center"/>
              <w:rPr>
                <w:rFonts w:ascii="Titillium Web" w:hAnsi="Titillium Web"/>
                <w:b/>
                <w:spacing w:val="-1"/>
                <w:sz w:val="14"/>
                <w:szCs w:val="14"/>
              </w:rPr>
            </w:pPr>
            <w:r w:rsidRPr="006343CE">
              <w:rPr>
                <w:rFonts w:ascii="Titillium Web" w:hAnsi="Titillium Web"/>
                <w:b/>
                <w:spacing w:val="-1"/>
                <w:sz w:val="14"/>
                <w:szCs w:val="14"/>
              </w:rPr>
              <w:t>5.000,00</w:t>
            </w:r>
          </w:p>
        </w:tc>
      </w:tr>
      <w:tr w:rsidR="00801F4F" w:rsidRPr="006343CE" w14:paraId="44ED367F" w14:textId="77777777" w:rsidTr="00FA0EEC">
        <w:trPr>
          <w:cantSplit/>
          <w:trHeight w:val="397"/>
          <w:jc w:val="center"/>
        </w:trPr>
        <w:tc>
          <w:tcPr>
            <w:tcW w:w="611" w:type="dxa"/>
            <w:vMerge/>
            <w:hideMark/>
          </w:tcPr>
          <w:p w14:paraId="3D9339D4" w14:textId="77777777" w:rsidR="00801F4F" w:rsidRPr="006343CE" w:rsidRDefault="00801F4F" w:rsidP="00FA0EEC">
            <w:pPr>
              <w:pStyle w:val="Corpotesto"/>
              <w:ind w:left="215" w:right="227"/>
              <w:jc w:val="both"/>
              <w:rPr>
                <w:rFonts w:ascii="Titillium Web" w:hAnsi="Titillium Web"/>
                <w:spacing w:val="-1"/>
                <w:sz w:val="14"/>
                <w:szCs w:val="14"/>
              </w:rPr>
            </w:pPr>
          </w:p>
        </w:tc>
        <w:tc>
          <w:tcPr>
            <w:tcW w:w="5905" w:type="dxa"/>
            <w:vAlign w:val="center"/>
            <w:hideMark/>
          </w:tcPr>
          <w:p w14:paraId="541E4D8F" w14:textId="77777777" w:rsidR="00801F4F" w:rsidRPr="006343CE" w:rsidRDefault="00801F4F" w:rsidP="00FA0EEC">
            <w:pPr>
              <w:pStyle w:val="Corpotesto"/>
              <w:rPr>
                <w:rFonts w:ascii="Titillium Web" w:hAnsi="Titillium Web"/>
                <w:spacing w:val="-1"/>
                <w:sz w:val="14"/>
                <w:szCs w:val="14"/>
              </w:rPr>
            </w:pPr>
            <w:r w:rsidRPr="006343CE">
              <w:rPr>
                <w:rFonts w:ascii="Titillium Web" w:hAnsi="Titillium Web"/>
                <w:spacing w:val="-1"/>
                <w:sz w:val="14"/>
                <w:szCs w:val="14"/>
              </w:rPr>
              <w:t>Spese per l'allestimento e manutenzione degli spazi espositivi (ivi compresi costi di pulizia, facchinaggio, allacciamento utenze, etc,)</w:t>
            </w:r>
          </w:p>
        </w:tc>
        <w:tc>
          <w:tcPr>
            <w:tcW w:w="749" w:type="dxa"/>
            <w:vMerge/>
            <w:hideMark/>
          </w:tcPr>
          <w:p w14:paraId="29925518"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34" w:type="dxa"/>
            <w:vMerge/>
            <w:hideMark/>
          </w:tcPr>
          <w:p w14:paraId="6DD75401"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76" w:type="dxa"/>
            <w:vMerge/>
            <w:hideMark/>
          </w:tcPr>
          <w:p w14:paraId="78BEA5D8" w14:textId="77777777" w:rsidR="00801F4F" w:rsidRPr="006343CE" w:rsidRDefault="00801F4F" w:rsidP="00FA0EEC">
            <w:pPr>
              <w:pStyle w:val="Corpotesto"/>
              <w:ind w:left="215" w:right="227"/>
              <w:jc w:val="both"/>
              <w:rPr>
                <w:rFonts w:ascii="Titillium Web" w:hAnsi="Titillium Web"/>
                <w:spacing w:val="-1"/>
                <w:sz w:val="14"/>
                <w:szCs w:val="14"/>
              </w:rPr>
            </w:pPr>
          </w:p>
        </w:tc>
      </w:tr>
      <w:tr w:rsidR="00801F4F" w:rsidRPr="006343CE" w14:paraId="69419F0D" w14:textId="77777777" w:rsidTr="00FA0EEC">
        <w:trPr>
          <w:cantSplit/>
          <w:trHeight w:val="397"/>
          <w:jc w:val="center"/>
        </w:trPr>
        <w:tc>
          <w:tcPr>
            <w:tcW w:w="611" w:type="dxa"/>
            <w:vMerge/>
            <w:hideMark/>
          </w:tcPr>
          <w:p w14:paraId="5B5076AF" w14:textId="77777777" w:rsidR="00801F4F" w:rsidRPr="006343CE" w:rsidRDefault="00801F4F" w:rsidP="00FA0EEC">
            <w:pPr>
              <w:pStyle w:val="Corpotesto"/>
              <w:ind w:left="215" w:right="227"/>
              <w:jc w:val="both"/>
              <w:rPr>
                <w:rFonts w:ascii="Titillium Web" w:hAnsi="Titillium Web"/>
                <w:spacing w:val="-1"/>
                <w:sz w:val="14"/>
                <w:szCs w:val="14"/>
              </w:rPr>
            </w:pPr>
          </w:p>
        </w:tc>
        <w:tc>
          <w:tcPr>
            <w:tcW w:w="5905" w:type="dxa"/>
            <w:vAlign w:val="center"/>
            <w:hideMark/>
          </w:tcPr>
          <w:p w14:paraId="38E5FB88" w14:textId="77777777" w:rsidR="00801F4F" w:rsidRPr="006343CE" w:rsidRDefault="00801F4F" w:rsidP="00FA0EEC">
            <w:pPr>
              <w:pStyle w:val="Corpotesto"/>
              <w:rPr>
                <w:rFonts w:ascii="Titillium Web" w:hAnsi="Titillium Web"/>
                <w:spacing w:val="-1"/>
                <w:sz w:val="14"/>
                <w:szCs w:val="14"/>
              </w:rPr>
            </w:pPr>
            <w:r w:rsidRPr="006343CE">
              <w:rPr>
                <w:rFonts w:ascii="Titillium Web" w:hAnsi="Titillium Web"/>
                <w:spacing w:val="-1"/>
                <w:sz w:val="14"/>
                <w:szCs w:val="14"/>
              </w:rPr>
              <w:t>Spese di inserimento nel catalogo della manifestazione fieristica</w:t>
            </w:r>
          </w:p>
        </w:tc>
        <w:tc>
          <w:tcPr>
            <w:tcW w:w="749" w:type="dxa"/>
            <w:vMerge/>
            <w:hideMark/>
          </w:tcPr>
          <w:p w14:paraId="69EF4FB8"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34" w:type="dxa"/>
            <w:vMerge/>
            <w:hideMark/>
          </w:tcPr>
          <w:p w14:paraId="1CD23258"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76" w:type="dxa"/>
            <w:vMerge/>
            <w:hideMark/>
          </w:tcPr>
          <w:p w14:paraId="46E20E0B" w14:textId="77777777" w:rsidR="00801F4F" w:rsidRPr="006343CE" w:rsidRDefault="00801F4F" w:rsidP="00FA0EEC">
            <w:pPr>
              <w:pStyle w:val="Corpotesto"/>
              <w:ind w:left="215" w:right="227"/>
              <w:jc w:val="both"/>
              <w:rPr>
                <w:rFonts w:ascii="Titillium Web" w:hAnsi="Titillium Web"/>
                <w:spacing w:val="-1"/>
                <w:sz w:val="14"/>
                <w:szCs w:val="14"/>
              </w:rPr>
            </w:pPr>
          </w:p>
        </w:tc>
      </w:tr>
      <w:tr w:rsidR="00801F4F" w:rsidRPr="006343CE" w14:paraId="401EDD24" w14:textId="77777777" w:rsidTr="00FA0EEC">
        <w:trPr>
          <w:cantSplit/>
          <w:trHeight w:val="397"/>
          <w:jc w:val="center"/>
        </w:trPr>
        <w:tc>
          <w:tcPr>
            <w:tcW w:w="611" w:type="dxa"/>
            <w:vMerge/>
            <w:hideMark/>
          </w:tcPr>
          <w:p w14:paraId="157F9483" w14:textId="77777777" w:rsidR="00801F4F" w:rsidRPr="006343CE" w:rsidRDefault="00801F4F" w:rsidP="00FA0EEC">
            <w:pPr>
              <w:pStyle w:val="Corpotesto"/>
              <w:ind w:left="215" w:right="227"/>
              <w:jc w:val="both"/>
              <w:rPr>
                <w:rFonts w:ascii="Titillium Web" w:hAnsi="Titillium Web"/>
                <w:spacing w:val="-1"/>
                <w:sz w:val="14"/>
                <w:szCs w:val="14"/>
              </w:rPr>
            </w:pPr>
          </w:p>
        </w:tc>
        <w:tc>
          <w:tcPr>
            <w:tcW w:w="5905" w:type="dxa"/>
            <w:vAlign w:val="center"/>
            <w:hideMark/>
          </w:tcPr>
          <w:p w14:paraId="5A711073" w14:textId="77777777" w:rsidR="00801F4F" w:rsidRPr="006343CE" w:rsidRDefault="00801F4F" w:rsidP="00FA0EEC">
            <w:pPr>
              <w:pStyle w:val="Corpotesto"/>
              <w:rPr>
                <w:rFonts w:ascii="Titillium Web" w:hAnsi="Titillium Web"/>
                <w:spacing w:val="-1"/>
                <w:sz w:val="14"/>
                <w:szCs w:val="14"/>
              </w:rPr>
            </w:pPr>
            <w:r w:rsidRPr="006343CE">
              <w:rPr>
                <w:rFonts w:ascii="Titillium Web" w:hAnsi="Titillium Web"/>
                <w:spacing w:val="-1"/>
                <w:sz w:val="14"/>
                <w:szCs w:val="14"/>
              </w:rPr>
              <w:t>Spese di hostessing e interpretariato</w:t>
            </w:r>
          </w:p>
        </w:tc>
        <w:tc>
          <w:tcPr>
            <w:tcW w:w="749" w:type="dxa"/>
            <w:vMerge/>
            <w:hideMark/>
          </w:tcPr>
          <w:p w14:paraId="3E90E1B8"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34" w:type="dxa"/>
            <w:vMerge/>
            <w:hideMark/>
          </w:tcPr>
          <w:p w14:paraId="573036CB"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76" w:type="dxa"/>
            <w:vMerge/>
            <w:hideMark/>
          </w:tcPr>
          <w:p w14:paraId="6FB2F99D" w14:textId="77777777" w:rsidR="00801F4F" w:rsidRPr="006343CE" w:rsidRDefault="00801F4F" w:rsidP="00FA0EEC">
            <w:pPr>
              <w:pStyle w:val="Corpotesto"/>
              <w:ind w:left="215" w:right="227"/>
              <w:jc w:val="both"/>
              <w:rPr>
                <w:rFonts w:ascii="Titillium Web" w:hAnsi="Titillium Web"/>
                <w:spacing w:val="-1"/>
                <w:sz w:val="14"/>
                <w:szCs w:val="14"/>
              </w:rPr>
            </w:pPr>
          </w:p>
        </w:tc>
      </w:tr>
      <w:tr w:rsidR="00801F4F" w:rsidRPr="006343CE" w14:paraId="43715A82" w14:textId="77777777" w:rsidTr="00FA0EEC">
        <w:trPr>
          <w:cantSplit/>
          <w:trHeight w:val="397"/>
          <w:jc w:val="center"/>
        </w:trPr>
        <w:tc>
          <w:tcPr>
            <w:tcW w:w="611" w:type="dxa"/>
            <w:vMerge/>
            <w:hideMark/>
          </w:tcPr>
          <w:p w14:paraId="7B169780" w14:textId="77777777" w:rsidR="00801F4F" w:rsidRPr="006343CE" w:rsidRDefault="00801F4F" w:rsidP="00FA0EEC">
            <w:pPr>
              <w:pStyle w:val="Corpotesto"/>
              <w:ind w:left="215" w:right="227"/>
              <w:jc w:val="both"/>
              <w:rPr>
                <w:rFonts w:ascii="Titillium Web" w:hAnsi="Titillium Web"/>
                <w:spacing w:val="-1"/>
                <w:sz w:val="14"/>
                <w:szCs w:val="14"/>
              </w:rPr>
            </w:pPr>
          </w:p>
        </w:tc>
        <w:tc>
          <w:tcPr>
            <w:tcW w:w="5905" w:type="dxa"/>
            <w:vAlign w:val="center"/>
            <w:hideMark/>
          </w:tcPr>
          <w:p w14:paraId="2CBEF925" w14:textId="77777777" w:rsidR="00801F4F" w:rsidRPr="006343CE" w:rsidRDefault="00801F4F" w:rsidP="00FA0EEC">
            <w:pPr>
              <w:pStyle w:val="Corpotesto"/>
              <w:rPr>
                <w:rFonts w:ascii="Titillium Web" w:hAnsi="Titillium Web"/>
                <w:spacing w:val="-1"/>
                <w:sz w:val="14"/>
                <w:szCs w:val="14"/>
              </w:rPr>
            </w:pPr>
            <w:r w:rsidRPr="006343CE">
              <w:rPr>
                <w:rFonts w:ascii="Titillium Web" w:hAnsi="Titillium Web"/>
                <w:spacing w:val="-1"/>
                <w:sz w:val="14"/>
                <w:szCs w:val="14"/>
              </w:rPr>
              <w:t>Spese di spedizione dei materiali promozionali, informativi e campionari da esporre nell'ambito della manifestazione)</w:t>
            </w:r>
          </w:p>
        </w:tc>
        <w:tc>
          <w:tcPr>
            <w:tcW w:w="749" w:type="dxa"/>
            <w:vMerge/>
            <w:hideMark/>
          </w:tcPr>
          <w:p w14:paraId="3568CCCB"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34" w:type="dxa"/>
            <w:vMerge/>
            <w:hideMark/>
          </w:tcPr>
          <w:p w14:paraId="1085651C"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76" w:type="dxa"/>
            <w:vMerge/>
            <w:hideMark/>
          </w:tcPr>
          <w:p w14:paraId="6884A315" w14:textId="77777777" w:rsidR="00801F4F" w:rsidRPr="006343CE" w:rsidRDefault="00801F4F" w:rsidP="00FA0EEC">
            <w:pPr>
              <w:pStyle w:val="Corpotesto"/>
              <w:ind w:left="215" w:right="227"/>
              <w:jc w:val="both"/>
              <w:rPr>
                <w:rFonts w:ascii="Titillium Web" w:hAnsi="Titillium Web"/>
                <w:spacing w:val="-1"/>
                <w:sz w:val="14"/>
                <w:szCs w:val="14"/>
              </w:rPr>
            </w:pPr>
          </w:p>
        </w:tc>
      </w:tr>
      <w:tr w:rsidR="00801F4F" w:rsidRPr="006343CE" w14:paraId="731084BC" w14:textId="77777777" w:rsidTr="00FA0EEC">
        <w:trPr>
          <w:cantSplit/>
          <w:trHeight w:val="397"/>
          <w:jc w:val="center"/>
        </w:trPr>
        <w:tc>
          <w:tcPr>
            <w:tcW w:w="611" w:type="dxa"/>
            <w:vMerge/>
            <w:hideMark/>
          </w:tcPr>
          <w:p w14:paraId="6EAA0D0F" w14:textId="77777777" w:rsidR="00801F4F" w:rsidRPr="006343CE" w:rsidRDefault="00801F4F" w:rsidP="00FA0EEC">
            <w:pPr>
              <w:pStyle w:val="Corpotesto"/>
              <w:ind w:left="215" w:right="227"/>
              <w:jc w:val="both"/>
              <w:rPr>
                <w:rFonts w:ascii="Titillium Web" w:hAnsi="Titillium Web"/>
                <w:spacing w:val="-1"/>
                <w:sz w:val="14"/>
                <w:szCs w:val="14"/>
              </w:rPr>
            </w:pPr>
          </w:p>
        </w:tc>
        <w:tc>
          <w:tcPr>
            <w:tcW w:w="5905" w:type="dxa"/>
            <w:vAlign w:val="center"/>
            <w:hideMark/>
          </w:tcPr>
          <w:p w14:paraId="0CC3DE81" w14:textId="77777777" w:rsidR="00801F4F" w:rsidRPr="006343CE" w:rsidRDefault="00801F4F" w:rsidP="00FA0EEC">
            <w:pPr>
              <w:pStyle w:val="Corpotesto"/>
              <w:rPr>
                <w:rFonts w:ascii="Titillium Web" w:hAnsi="Titillium Web"/>
                <w:spacing w:val="-1"/>
                <w:sz w:val="14"/>
                <w:szCs w:val="14"/>
              </w:rPr>
            </w:pPr>
            <w:r w:rsidRPr="006343CE">
              <w:rPr>
                <w:rFonts w:ascii="Titillium Web" w:hAnsi="Titillium Web"/>
                <w:spacing w:val="-1"/>
                <w:sz w:val="14"/>
                <w:szCs w:val="14"/>
              </w:rPr>
              <w:t>Spese di estensione del marchio apposito per la promozione di prodotti/servizi nei mercati esteri</w:t>
            </w:r>
          </w:p>
        </w:tc>
        <w:tc>
          <w:tcPr>
            <w:tcW w:w="749" w:type="dxa"/>
            <w:vMerge/>
            <w:hideMark/>
          </w:tcPr>
          <w:p w14:paraId="513BBDA0"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34" w:type="dxa"/>
            <w:vMerge/>
            <w:hideMark/>
          </w:tcPr>
          <w:p w14:paraId="7BE676E4"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76" w:type="dxa"/>
            <w:vMerge/>
            <w:hideMark/>
          </w:tcPr>
          <w:p w14:paraId="536C0BE0" w14:textId="77777777" w:rsidR="00801F4F" w:rsidRPr="006343CE" w:rsidRDefault="00801F4F" w:rsidP="00FA0EEC">
            <w:pPr>
              <w:pStyle w:val="Corpotesto"/>
              <w:ind w:left="215" w:right="227"/>
              <w:jc w:val="both"/>
              <w:rPr>
                <w:rFonts w:ascii="Titillium Web" w:hAnsi="Titillium Web"/>
                <w:spacing w:val="-1"/>
                <w:sz w:val="14"/>
                <w:szCs w:val="14"/>
              </w:rPr>
            </w:pPr>
          </w:p>
        </w:tc>
      </w:tr>
      <w:tr w:rsidR="00801F4F" w:rsidRPr="006343CE" w14:paraId="73FECE4B" w14:textId="77777777" w:rsidTr="00FA0EEC">
        <w:trPr>
          <w:cantSplit/>
          <w:trHeight w:val="397"/>
          <w:jc w:val="center"/>
        </w:trPr>
        <w:tc>
          <w:tcPr>
            <w:tcW w:w="611" w:type="dxa"/>
            <w:vMerge w:val="restart"/>
            <w:textDirection w:val="btLr"/>
            <w:vAlign w:val="center"/>
          </w:tcPr>
          <w:p w14:paraId="5BC123DF" w14:textId="1F6E284A" w:rsidR="00801F4F" w:rsidRPr="006343CE" w:rsidRDefault="00801F4F" w:rsidP="00DC6A14">
            <w:pPr>
              <w:pStyle w:val="Corpotesto"/>
              <w:ind w:left="215" w:right="227"/>
              <w:jc w:val="center"/>
              <w:rPr>
                <w:rFonts w:ascii="Titillium Web" w:hAnsi="Titillium Web"/>
                <w:spacing w:val="-1"/>
                <w:sz w:val="14"/>
                <w:szCs w:val="14"/>
              </w:rPr>
            </w:pPr>
            <w:r w:rsidRPr="00A801C9">
              <w:rPr>
                <w:rFonts w:ascii="Titillium Web" w:hAnsi="Titillium Web"/>
                <w:spacing w:val="-1"/>
                <w:sz w:val="14"/>
                <w:szCs w:val="14"/>
              </w:rPr>
              <w:t xml:space="preserve">Procedura </w:t>
            </w:r>
            <w:r w:rsidR="00DC6A14">
              <w:rPr>
                <w:rFonts w:ascii="Titillium Web" w:hAnsi="Titillium Web"/>
                <w:spacing w:val="-1"/>
                <w:sz w:val="14"/>
                <w:szCs w:val="14"/>
              </w:rPr>
              <w:t>2</w:t>
            </w:r>
          </w:p>
        </w:tc>
        <w:tc>
          <w:tcPr>
            <w:tcW w:w="5905" w:type="dxa"/>
            <w:vAlign w:val="center"/>
          </w:tcPr>
          <w:p w14:paraId="1B89FA5B" w14:textId="77777777" w:rsidR="00801F4F" w:rsidRPr="006343CE" w:rsidRDefault="00801F4F" w:rsidP="00FA0EEC">
            <w:pPr>
              <w:pStyle w:val="Corpotesto"/>
              <w:rPr>
                <w:rFonts w:ascii="Titillium Web" w:hAnsi="Titillium Web"/>
                <w:spacing w:val="-1"/>
                <w:sz w:val="14"/>
                <w:szCs w:val="14"/>
              </w:rPr>
            </w:pPr>
            <w:r w:rsidRPr="006343CE">
              <w:rPr>
                <w:rFonts w:ascii="Titillium Web" w:hAnsi="Titillium Web"/>
                <w:spacing w:val="-1"/>
                <w:sz w:val="14"/>
                <w:szCs w:val="14"/>
              </w:rPr>
              <w:t>Spese per l'affitto di spazi espositivi (ivi compresi eventuali oneri di iscrizione, diritti fissi, etc.)</w:t>
            </w:r>
          </w:p>
        </w:tc>
        <w:tc>
          <w:tcPr>
            <w:tcW w:w="749" w:type="dxa"/>
            <w:vMerge w:val="restart"/>
            <w:vAlign w:val="center"/>
          </w:tcPr>
          <w:p w14:paraId="17562E75" w14:textId="77777777" w:rsidR="00801F4F" w:rsidRPr="006343CE" w:rsidRDefault="00801F4F" w:rsidP="00FA0EEC">
            <w:pPr>
              <w:pStyle w:val="Corpotesto"/>
              <w:jc w:val="center"/>
              <w:rPr>
                <w:rFonts w:ascii="Titillium Web" w:hAnsi="Titillium Web"/>
                <w:b/>
                <w:spacing w:val="-1"/>
                <w:sz w:val="14"/>
                <w:szCs w:val="14"/>
              </w:rPr>
            </w:pPr>
            <w:r w:rsidRPr="006343CE">
              <w:rPr>
                <w:rFonts w:ascii="Titillium Web" w:hAnsi="Titillium Web"/>
                <w:b/>
                <w:spacing w:val="-1"/>
                <w:sz w:val="14"/>
                <w:szCs w:val="14"/>
              </w:rPr>
              <w:t>50%</w:t>
            </w:r>
          </w:p>
        </w:tc>
        <w:tc>
          <w:tcPr>
            <w:tcW w:w="1234" w:type="dxa"/>
            <w:vMerge w:val="restart"/>
            <w:vAlign w:val="center"/>
          </w:tcPr>
          <w:p w14:paraId="6040F739" w14:textId="77777777" w:rsidR="00801F4F" w:rsidRPr="006343CE" w:rsidRDefault="00801F4F" w:rsidP="00FA0EEC">
            <w:pPr>
              <w:pStyle w:val="Corpotesto"/>
              <w:jc w:val="center"/>
              <w:rPr>
                <w:rFonts w:ascii="Titillium Web" w:hAnsi="Titillium Web"/>
                <w:b/>
                <w:spacing w:val="-1"/>
                <w:sz w:val="14"/>
                <w:szCs w:val="14"/>
              </w:rPr>
            </w:pPr>
            <w:r w:rsidRPr="006343CE">
              <w:rPr>
                <w:rFonts w:ascii="Titillium Web" w:hAnsi="Titillium Web"/>
                <w:b/>
                <w:spacing w:val="-1"/>
                <w:sz w:val="14"/>
                <w:szCs w:val="14"/>
              </w:rPr>
              <w:t>6.000,00</w:t>
            </w:r>
          </w:p>
        </w:tc>
        <w:tc>
          <w:tcPr>
            <w:tcW w:w="1276" w:type="dxa"/>
            <w:vMerge w:val="restart"/>
            <w:vAlign w:val="center"/>
          </w:tcPr>
          <w:p w14:paraId="375932CE" w14:textId="77777777" w:rsidR="00801F4F" w:rsidRPr="006343CE" w:rsidRDefault="00801F4F" w:rsidP="00FA0EEC">
            <w:pPr>
              <w:pStyle w:val="Corpotesto"/>
              <w:jc w:val="center"/>
              <w:rPr>
                <w:rFonts w:ascii="Titillium Web" w:hAnsi="Titillium Web"/>
                <w:b/>
                <w:spacing w:val="-1"/>
                <w:sz w:val="14"/>
                <w:szCs w:val="14"/>
              </w:rPr>
            </w:pPr>
            <w:r w:rsidRPr="006343CE">
              <w:rPr>
                <w:rFonts w:ascii="Titillium Web" w:hAnsi="Titillium Web"/>
                <w:b/>
                <w:spacing w:val="-1"/>
                <w:sz w:val="14"/>
                <w:szCs w:val="14"/>
              </w:rPr>
              <w:t>9.000,00</w:t>
            </w:r>
          </w:p>
        </w:tc>
      </w:tr>
      <w:tr w:rsidR="00801F4F" w:rsidRPr="006343CE" w14:paraId="5B8713A5" w14:textId="77777777" w:rsidTr="00FA0EEC">
        <w:trPr>
          <w:cantSplit/>
          <w:trHeight w:val="397"/>
          <w:jc w:val="center"/>
        </w:trPr>
        <w:tc>
          <w:tcPr>
            <w:tcW w:w="611" w:type="dxa"/>
            <w:vMerge/>
          </w:tcPr>
          <w:p w14:paraId="113CFBB3" w14:textId="77777777" w:rsidR="00801F4F" w:rsidRPr="006343CE" w:rsidRDefault="00801F4F" w:rsidP="00FA0EEC">
            <w:pPr>
              <w:pStyle w:val="Corpotesto"/>
              <w:ind w:left="215" w:right="227"/>
              <w:jc w:val="both"/>
              <w:rPr>
                <w:rFonts w:ascii="Titillium Web" w:hAnsi="Titillium Web"/>
                <w:spacing w:val="-1"/>
                <w:sz w:val="14"/>
                <w:szCs w:val="14"/>
              </w:rPr>
            </w:pPr>
          </w:p>
        </w:tc>
        <w:tc>
          <w:tcPr>
            <w:tcW w:w="5905" w:type="dxa"/>
            <w:vAlign w:val="center"/>
          </w:tcPr>
          <w:p w14:paraId="6B90BD98" w14:textId="77777777" w:rsidR="00801F4F" w:rsidRPr="006343CE" w:rsidRDefault="00801F4F" w:rsidP="00FA0EEC">
            <w:pPr>
              <w:pStyle w:val="Corpotesto"/>
              <w:rPr>
                <w:rFonts w:ascii="Titillium Web" w:hAnsi="Titillium Web"/>
                <w:spacing w:val="-1"/>
                <w:sz w:val="14"/>
                <w:szCs w:val="14"/>
              </w:rPr>
            </w:pPr>
            <w:r w:rsidRPr="006343CE">
              <w:rPr>
                <w:rFonts w:ascii="Titillium Web" w:hAnsi="Titillium Web"/>
                <w:spacing w:val="-1"/>
                <w:sz w:val="14"/>
                <w:szCs w:val="14"/>
              </w:rPr>
              <w:t>Spese per l'allestimento e manutenzione degli spazi espositivi (ivi compresi costi di pulizia, facchinaggio, allacciamento utenze, etc,)</w:t>
            </w:r>
          </w:p>
        </w:tc>
        <w:tc>
          <w:tcPr>
            <w:tcW w:w="749" w:type="dxa"/>
            <w:vMerge/>
          </w:tcPr>
          <w:p w14:paraId="2AC65992"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34" w:type="dxa"/>
            <w:vMerge/>
          </w:tcPr>
          <w:p w14:paraId="1666F881"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76" w:type="dxa"/>
            <w:vMerge/>
          </w:tcPr>
          <w:p w14:paraId="075824C3" w14:textId="77777777" w:rsidR="00801F4F" w:rsidRPr="006343CE" w:rsidRDefault="00801F4F" w:rsidP="00FA0EEC">
            <w:pPr>
              <w:pStyle w:val="Corpotesto"/>
              <w:ind w:left="215" w:right="227"/>
              <w:jc w:val="both"/>
              <w:rPr>
                <w:rFonts w:ascii="Titillium Web" w:hAnsi="Titillium Web"/>
                <w:spacing w:val="-1"/>
                <w:sz w:val="14"/>
                <w:szCs w:val="14"/>
              </w:rPr>
            </w:pPr>
          </w:p>
        </w:tc>
      </w:tr>
      <w:tr w:rsidR="00801F4F" w:rsidRPr="006343CE" w14:paraId="0D4567E1" w14:textId="77777777" w:rsidTr="00FA0EEC">
        <w:trPr>
          <w:cantSplit/>
          <w:trHeight w:val="397"/>
          <w:jc w:val="center"/>
        </w:trPr>
        <w:tc>
          <w:tcPr>
            <w:tcW w:w="611" w:type="dxa"/>
            <w:vMerge/>
          </w:tcPr>
          <w:p w14:paraId="680993BB" w14:textId="77777777" w:rsidR="00801F4F" w:rsidRPr="006343CE" w:rsidRDefault="00801F4F" w:rsidP="00FA0EEC">
            <w:pPr>
              <w:pStyle w:val="Corpotesto"/>
              <w:ind w:left="215" w:right="227"/>
              <w:jc w:val="both"/>
              <w:rPr>
                <w:rFonts w:ascii="Titillium Web" w:hAnsi="Titillium Web"/>
                <w:spacing w:val="-1"/>
                <w:sz w:val="14"/>
                <w:szCs w:val="14"/>
              </w:rPr>
            </w:pPr>
          </w:p>
        </w:tc>
        <w:tc>
          <w:tcPr>
            <w:tcW w:w="5905" w:type="dxa"/>
            <w:vAlign w:val="center"/>
          </w:tcPr>
          <w:p w14:paraId="52755143" w14:textId="77777777" w:rsidR="00801F4F" w:rsidRPr="006343CE" w:rsidRDefault="00801F4F" w:rsidP="00FA0EEC">
            <w:pPr>
              <w:pStyle w:val="Corpotesto"/>
              <w:rPr>
                <w:rFonts w:ascii="Titillium Web" w:hAnsi="Titillium Web"/>
                <w:spacing w:val="-1"/>
                <w:sz w:val="14"/>
                <w:szCs w:val="14"/>
              </w:rPr>
            </w:pPr>
            <w:r w:rsidRPr="006343CE">
              <w:rPr>
                <w:rFonts w:ascii="Titillium Web" w:hAnsi="Titillium Web"/>
                <w:spacing w:val="-1"/>
                <w:sz w:val="14"/>
                <w:szCs w:val="14"/>
              </w:rPr>
              <w:t>Spese di inserimento nel catalogo della manifestazione fieristica</w:t>
            </w:r>
          </w:p>
        </w:tc>
        <w:tc>
          <w:tcPr>
            <w:tcW w:w="749" w:type="dxa"/>
            <w:vMerge/>
          </w:tcPr>
          <w:p w14:paraId="79BB597E"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34" w:type="dxa"/>
            <w:vMerge/>
          </w:tcPr>
          <w:p w14:paraId="23653508"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76" w:type="dxa"/>
            <w:vMerge/>
          </w:tcPr>
          <w:p w14:paraId="7CB029ED" w14:textId="77777777" w:rsidR="00801F4F" w:rsidRPr="006343CE" w:rsidRDefault="00801F4F" w:rsidP="00FA0EEC">
            <w:pPr>
              <w:pStyle w:val="Corpotesto"/>
              <w:ind w:left="215" w:right="227"/>
              <w:jc w:val="both"/>
              <w:rPr>
                <w:rFonts w:ascii="Titillium Web" w:hAnsi="Titillium Web"/>
                <w:spacing w:val="-1"/>
                <w:sz w:val="14"/>
                <w:szCs w:val="14"/>
              </w:rPr>
            </w:pPr>
          </w:p>
        </w:tc>
      </w:tr>
      <w:tr w:rsidR="00801F4F" w:rsidRPr="006343CE" w14:paraId="4B9F9DE8" w14:textId="77777777" w:rsidTr="00FA0EEC">
        <w:trPr>
          <w:cantSplit/>
          <w:trHeight w:val="397"/>
          <w:jc w:val="center"/>
        </w:trPr>
        <w:tc>
          <w:tcPr>
            <w:tcW w:w="611" w:type="dxa"/>
            <w:vMerge/>
          </w:tcPr>
          <w:p w14:paraId="3AAEE31A" w14:textId="77777777" w:rsidR="00801F4F" w:rsidRPr="006343CE" w:rsidRDefault="00801F4F" w:rsidP="00FA0EEC">
            <w:pPr>
              <w:pStyle w:val="Corpotesto"/>
              <w:ind w:left="215" w:right="227"/>
              <w:jc w:val="both"/>
              <w:rPr>
                <w:rFonts w:ascii="Titillium Web" w:hAnsi="Titillium Web"/>
                <w:spacing w:val="-1"/>
                <w:sz w:val="14"/>
                <w:szCs w:val="14"/>
              </w:rPr>
            </w:pPr>
          </w:p>
        </w:tc>
        <w:tc>
          <w:tcPr>
            <w:tcW w:w="5905" w:type="dxa"/>
            <w:vAlign w:val="center"/>
          </w:tcPr>
          <w:p w14:paraId="624B3768" w14:textId="77777777" w:rsidR="00801F4F" w:rsidRPr="006343CE" w:rsidRDefault="00801F4F" w:rsidP="00FA0EEC">
            <w:pPr>
              <w:pStyle w:val="Corpotesto"/>
              <w:rPr>
                <w:rFonts w:ascii="Titillium Web" w:hAnsi="Titillium Web"/>
                <w:spacing w:val="-1"/>
                <w:sz w:val="14"/>
                <w:szCs w:val="14"/>
              </w:rPr>
            </w:pPr>
            <w:r w:rsidRPr="006343CE">
              <w:rPr>
                <w:rFonts w:ascii="Titillium Web" w:hAnsi="Titillium Web"/>
                <w:spacing w:val="-1"/>
                <w:sz w:val="14"/>
                <w:szCs w:val="14"/>
              </w:rPr>
              <w:t>Spese di hostessing e interpretariato</w:t>
            </w:r>
          </w:p>
        </w:tc>
        <w:tc>
          <w:tcPr>
            <w:tcW w:w="749" w:type="dxa"/>
            <w:vMerge/>
          </w:tcPr>
          <w:p w14:paraId="7A997E40"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34" w:type="dxa"/>
            <w:vMerge/>
          </w:tcPr>
          <w:p w14:paraId="6D8D458C"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76" w:type="dxa"/>
            <w:vMerge/>
          </w:tcPr>
          <w:p w14:paraId="5FB20611" w14:textId="77777777" w:rsidR="00801F4F" w:rsidRPr="006343CE" w:rsidRDefault="00801F4F" w:rsidP="00FA0EEC">
            <w:pPr>
              <w:pStyle w:val="Corpotesto"/>
              <w:ind w:left="215" w:right="227"/>
              <w:jc w:val="both"/>
              <w:rPr>
                <w:rFonts w:ascii="Titillium Web" w:hAnsi="Titillium Web"/>
                <w:spacing w:val="-1"/>
                <w:sz w:val="14"/>
                <w:szCs w:val="14"/>
              </w:rPr>
            </w:pPr>
          </w:p>
        </w:tc>
      </w:tr>
      <w:tr w:rsidR="00801F4F" w:rsidRPr="006343CE" w14:paraId="4372D106" w14:textId="77777777" w:rsidTr="00FA0EEC">
        <w:trPr>
          <w:cantSplit/>
          <w:trHeight w:val="397"/>
          <w:jc w:val="center"/>
        </w:trPr>
        <w:tc>
          <w:tcPr>
            <w:tcW w:w="611" w:type="dxa"/>
            <w:vMerge/>
          </w:tcPr>
          <w:p w14:paraId="45799E0E" w14:textId="77777777" w:rsidR="00801F4F" w:rsidRPr="006343CE" w:rsidRDefault="00801F4F" w:rsidP="00FA0EEC">
            <w:pPr>
              <w:pStyle w:val="Corpotesto"/>
              <w:ind w:left="215" w:right="227"/>
              <w:jc w:val="both"/>
              <w:rPr>
                <w:rFonts w:ascii="Titillium Web" w:hAnsi="Titillium Web"/>
                <w:spacing w:val="-1"/>
                <w:sz w:val="14"/>
                <w:szCs w:val="14"/>
              </w:rPr>
            </w:pPr>
          </w:p>
        </w:tc>
        <w:tc>
          <w:tcPr>
            <w:tcW w:w="5905" w:type="dxa"/>
            <w:vAlign w:val="center"/>
          </w:tcPr>
          <w:p w14:paraId="65B15194" w14:textId="77777777" w:rsidR="00801F4F" w:rsidRPr="006343CE" w:rsidRDefault="00801F4F" w:rsidP="00FA0EEC">
            <w:pPr>
              <w:pStyle w:val="Corpotesto"/>
              <w:rPr>
                <w:rFonts w:ascii="Titillium Web" w:hAnsi="Titillium Web"/>
                <w:spacing w:val="-1"/>
                <w:sz w:val="14"/>
                <w:szCs w:val="14"/>
              </w:rPr>
            </w:pPr>
            <w:r w:rsidRPr="006343CE">
              <w:rPr>
                <w:rFonts w:ascii="Titillium Web" w:hAnsi="Titillium Web"/>
                <w:spacing w:val="-1"/>
                <w:sz w:val="14"/>
                <w:szCs w:val="14"/>
              </w:rPr>
              <w:t>Spese di spedizione dei materiali promozionali, informativi e campionari da esporre nell'ambito della manifestazione)</w:t>
            </w:r>
          </w:p>
        </w:tc>
        <w:tc>
          <w:tcPr>
            <w:tcW w:w="749" w:type="dxa"/>
            <w:vMerge/>
          </w:tcPr>
          <w:p w14:paraId="5E939A71"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34" w:type="dxa"/>
            <w:vMerge/>
          </w:tcPr>
          <w:p w14:paraId="5F98CEAB"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76" w:type="dxa"/>
            <w:vMerge/>
          </w:tcPr>
          <w:p w14:paraId="043D6C5D" w14:textId="77777777" w:rsidR="00801F4F" w:rsidRPr="006343CE" w:rsidRDefault="00801F4F" w:rsidP="00FA0EEC">
            <w:pPr>
              <w:pStyle w:val="Corpotesto"/>
              <w:ind w:left="215" w:right="227"/>
              <w:jc w:val="both"/>
              <w:rPr>
                <w:rFonts w:ascii="Titillium Web" w:hAnsi="Titillium Web"/>
                <w:spacing w:val="-1"/>
                <w:sz w:val="14"/>
                <w:szCs w:val="14"/>
              </w:rPr>
            </w:pPr>
          </w:p>
        </w:tc>
      </w:tr>
      <w:tr w:rsidR="00801F4F" w:rsidRPr="006343CE" w14:paraId="1FD9A872" w14:textId="77777777" w:rsidTr="00FA0EEC">
        <w:trPr>
          <w:cantSplit/>
          <w:trHeight w:val="397"/>
          <w:jc w:val="center"/>
        </w:trPr>
        <w:tc>
          <w:tcPr>
            <w:tcW w:w="611" w:type="dxa"/>
            <w:vMerge/>
          </w:tcPr>
          <w:p w14:paraId="26C9B796" w14:textId="77777777" w:rsidR="00801F4F" w:rsidRPr="006343CE" w:rsidRDefault="00801F4F" w:rsidP="00FA0EEC">
            <w:pPr>
              <w:pStyle w:val="Corpotesto"/>
              <w:ind w:left="215" w:right="227"/>
              <w:jc w:val="both"/>
              <w:rPr>
                <w:rFonts w:ascii="Titillium Web" w:hAnsi="Titillium Web"/>
                <w:spacing w:val="-1"/>
                <w:sz w:val="14"/>
                <w:szCs w:val="14"/>
              </w:rPr>
            </w:pPr>
          </w:p>
        </w:tc>
        <w:tc>
          <w:tcPr>
            <w:tcW w:w="5905" w:type="dxa"/>
            <w:vAlign w:val="center"/>
          </w:tcPr>
          <w:p w14:paraId="2394B841" w14:textId="77777777" w:rsidR="00801F4F" w:rsidRPr="006343CE" w:rsidRDefault="00801F4F" w:rsidP="00FA0EEC">
            <w:pPr>
              <w:pStyle w:val="Corpotesto"/>
              <w:jc w:val="both"/>
              <w:rPr>
                <w:rFonts w:ascii="Titillium Web" w:hAnsi="Titillium Web"/>
                <w:spacing w:val="-1"/>
                <w:sz w:val="14"/>
                <w:szCs w:val="14"/>
              </w:rPr>
            </w:pPr>
            <w:r w:rsidRPr="006343CE">
              <w:rPr>
                <w:rFonts w:ascii="Titillium Web" w:hAnsi="Titillium Web"/>
                <w:spacing w:val="-1"/>
                <w:sz w:val="14"/>
                <w:szCs w:val="14"/>
              </w:rPr>
              <w:t>Spese di verifica preliminare dei requisiti di registrabilità e spese di deposito di domande di registrazione di marchi dell'UE e internazionali al fine di proteggere tali marchi sui mercati internazionali</w:t>
            </w:r>
          </w:p>
        </w:tc>
        <w:tc>
          <w:tcPr>
            <w:tcW w:w="749" w:type="dxa"/>
            <w:vMerge/>
          </w:tcPr>
          <w:p w14:paraId="1B6D6963"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34" w:type="dxa"/>
            <w:vMerge/>
          </w:tcPr>
          <w:p w14:paraId="4F70B14A" w14:textId="77777777" w:rsidR="00801F4F" w:rsidRPr="006343CE" w:rsidRDefault="00801F4F" w:rsidP="00FA0EEC">
            <w:pPr>
              <w:pStyle w:val="Corpotesto"/>
              <w:ind w:left="215" w:right="227"/>
              <w:jc w:val="both"/>
              <w:rPr>
                <w:rFonts w:ascii="Titillium Web" w:hAnsi="Titillium Web"/>
                <w:spacing w:val="-1"/>
                <w:sz w:val="14"/>
                <w:szCs w:val="14"/>
              </w:rPr>
            </w:pPr>
          </w:p>
        </w:tc>
        <w:tc>
          <w:tcPr>
            <w:tcW w:w="1276" w:type="dxa"/>
            <w:vMerge/>
          </w:tcPr>
          <w:p w14:paraId="314E31CF" w14:textId="77777777" w:rsidR="00801F4F" w:rsidRPr="006343CE" w:rsidRDefault="00801F4F" w:rsidP="00FA0EEC">
            <w:pPr>
              <w:pStyle w:val="Corpotesto"/>
              <w:ind w:left="215" w:right="227"/>
              <w:jc w:val="both"/>
              <w:rPr>
                <w:rFonts w:ascii="Titillium Web" w:hAnsi="Titillium Web"/>
                <w:spacing w:val="-1"/>
                <w:sz w:val="14"/>
                <w:szCs w:val="14"/>
              </w:rPr>
            </w:pPr>
          </w:p>
        </w:tc>
      </w:tr>
    </w:tbl>
    <w:p w14:paraId="7C1FD382" w14:textId="77777777" w:rsidR="00801F4F" w:rsidRPr="006343CE" w:rsidRDefault="00801F4F" w:rsidP="00801F4F">
      <w:pPr>
        <w:pStyle w:val="Titolo4"/>
      </w:pPr>
      <w:bookmarkStart w:id="28" w:name="_Toc83204183"/>
      <w:bookmarkStart w:id="29" w:name="_Toc149065977"/>
      <w:bookmarkStart w:id="30" w:name="_Toc149133890"/>
      <w:r w:rsidRPr="006343CE">
        <w:t>Analisi della rendicontazione</w:t>
      </w:r>
      <w:bookmarkEnd w:id="28"/>
      <w:bookmarkEnd w:id="29"/>
      <w:bookmarkEnd w:id="30"/>
      <w:r w:rsidRPr="006343CE">
        <w:t xml:space="preserve"> </w:t>
      </w:r>
    </w:p>
    <w:p w14:paraId="6C0227F9" w14:textId="77777777" w:rsidR="00801F4F" w:rsidRPr="0055655F" w:rsidRDefault="00801F4F" w:rsidP="00801F4F">
      <w:pPr>
        <w:spacing w:after="240"/>
      </w:pPr>
      <w:r w:rsidRPr="0055655F">
        <w:t>Lo sviluppo dei due Avvisi pubblici precedentemente descritti ha dato vita ad un campione complessivo di n. 690 voucher assegnati che coprono manifestazioni fieristiche svoltesi nelle annualità 2017-2018-2019. Da questo insieme si sta provvedendo ad esaminare una selezione di n. 150 voucher suddivisi secondo il seguente schema:</w:t>
      </w:r>
    </w:p>
    <w:tbl>
      <w:tblPr>
        <w:tblStyle w:val="Grigliatabella"/>
        <w:tblW w:w="0" w:type="auto"/>
        <w:jc w:val="center"/>
        <w:tblLook w:val="04A0" w:firstRow="1" w:lastRow="0" w:firstColumn="1" w:lastColumn="0" w:noHBand="0" w:noVBand="1"/>
      </w:tblPr>
      <w:tblGrid>
        <w:gridCol w:w="1757"/>
        <w:gridCol w:w="1304"/>
        <w:gridCol w:w="1304"/>
        <w:gridCol w:w="1304"/>
      </w:tblGrid>
      <w:tr w:rsidR="00801F4F" w:rsidRPr="006343CE" w14:paraId="38DF1B7D" w14:textId="77777777" w:rsidTr="00FA0EEC">
        <w:trPr>
          <w:trHeight w:val="227"/>
          <w:jc w:val="center"/>
        </w:trPr>
        <w:tc>
          <w:tcPr>
            <w:tcW w:w="1757" w:type="dxa"/>
          </w:tcPr>
          <w:p w14:paraId="29C45E24" w14:textId="77777777" w:rsidR="00801F4F" w:rsidRPr="006343CE" w:rsidRDefault="00801F4F" w:rsidP="00FA0EEC">
            <w:pPr>
              <w:pStyle w:val="Corpotesto"/>
              <w:ind w:right="227"/>
              <w:jc w:val="center"/>
              <w:rPr>
                <w:rFonts w:ascii="Titillium Web" w:hAnsi="Titillium Web"/>
                <w:b/>
                <w:spacing w:val="-1"/>
                <w:sz w:val="16"/>
                <w:szCs w:val="16"/>
              </w:rPr>
            </w:pPr>
            <w:r w:rsidRPr="006343CE">
              <w:rPr>
                <w:rFonts w:ascii="Titillium Web" w:hAnsi="Titillium Web"/>
                <w:b/>
                <w:spacing w:val="-1"/>
                <w:sz w:val="16"/>
                <w:szCs w:val="16"/>
              </w:rPr>
              <w:t>Anno</w:t>
            </w:r>
          </w:p>
        </w:tc>
        <w:tc>
          <w:tcPr>
            <w:tcW w:w="1304" w:type="dxa"/>
            <w:vAlign w:val="center"/>
          </w:tcPr>
          <w:p w14:paraId="6D5C4718" w14:textId="77777777" w:rsidR="00801F4F" w:rsidRPr="006343CE" w:rsidRDefault="00801F4F" w:rsidP="00FA0EEC">
            <w:pPr>
              <w:pStyle w:val="Corpotesto"/>
              <w:ind w:right="227"/>
              <w:jc w:val="center"/>
              <w:rPr>
                <w:rFonts w:ascii="Titillium Web" w:hAnsi="Titillium Web"/>
                <w:spacing w:val="-1"/>
                <w:sz w:val="16"/>
                <w:szCs w:val="16"/>
              </w:rPr>
            </w:pPr>
            <w:r w:rsidRPr="006343CE">
              <w:rPr>
                <w:rFonts w:ascii="Titillium Web" w:hAnsi="Titillium Web"/>
                <w:spacing w:val="-1"/>
                <w:sz w:val="16"/>
                <w:szCs w:val="16"/>
              </w:rPr>
              <w:t>2017</w:t>
            </w:r>
          </w:p>
        </w:tc>
        <w:tc>
          <w:tcPr>
            <w:tcW w:w="1304" w:type="dxa"/>
            <w:vAlign w:val="center"/>
          </w:tcPr>
          <w:p w14:paraId="08205085" w14:textId="77777777" w:rsidR="00801F4F" w:rsidRPr="006343CE" w:rsidRDefault="00801F4F" w:rsidP="00FA0EEC">
            <w:pPr>
              <w:pStyle w:val="Corpotesto"/>
              <w:ind w:right="227"/>
              <w:jc w:val="center"/>
              <w:rPr>
                <w:rFonts w:ascii="Titillium Web" w:hAnsi="Titillium Web"/>
                <w:spacing w:val="-1"/>
                <w:sz w:val="16"/>
                <w:szCs w:val="16"/>
              </w:rPr>
            </w:pPr>
            <w:r w:rsidRPr="006343CE">
              <w:rPr>
                <w:rFonts w:ascii="Titillium Web" w:hAnsi="Titillium Web"/>
                <w:spacing w:val="-1"/>
                <w:sz w:val="16"/>
                <w:szCs w:val="16"/>
              </w:rPr>
              <w:t>2018</w:t>
            </w:r>
          </w:p>
        </w:tc>
        <w:tc>
          <w:tcPr>
            <w:tcW w:w="1304" w:type="dxa"/>
            <w:vAlign w:val="center"/>
          </w:tcPr>
          <w:p w14:paraId="5ABDA7E6" w14:textId="77777777" w:rsidR="00801F4F" w:rsidRPr="006343CE" w:rsidRDefault="00801F4F" w:rsidP="00FA0EEC">
            <w:pPr>
              <w:pStyle w:val="Corpotesto"/>
              <w:ind w:right="227"/>
              <w:jc w:val="center"/>
              <w:rPr>
                <w:rFonts w:ascii="Titillium Web" w:hAnsi="Titillium Web"/>
                <w:spacing w:val="-1"/>
                <w:sz w:val="16"/>
                <w:szCs w:val="16"/>
              </w:rPr>
            </w:pPr>
            <w:r w:rsidRPr="006343CE">
              <w:rPr>
                <w:rFonts w:ascii="Titillium Web" w:hAnsi="Titillium Web"/>
                <w:spacing w:val="-1"/>
                <w:sz w:val="16"/>
                <w:szCs w:val="16"/>
              </w:rPr>
              <w:t>2019</w:t>
            </w:r>
          </w:p>
        </w:tc>
      </w:tr>
      <w:tr w:rsidR="00801F4F" w:rsidRPr="006343CE" w14:paraId="549240AE" w14:textId="77777777" w:rsidTr="00FA0EEC">
        <w:trPr>
          <w:trHeight w:val="227"/>
          <w:jc w:val="center"/>
        </w:trPr>
        <w:tc>
          <w:tcPr>
            <w:tcW w:w="1757" w:type="dxa"/>
          </w:tcPr>
          <w:p w14:paraId="622E6AB1" w14:textId="77777777" w:rsidR="00801F4F" w:rsidRPr="006343CE" w:rsidRDefault="00801F4F" w:rsidP="00FA0EEC">
            <w:pPr>
              <w:pStyle w:val="Corpotesto"/>
              <w:ind w:right="227"/>
              <w:jc w:val="center"/>
              <w:rPr>
                <w:rFonts w:ascii="Titillium Web" w:hAnsi="Titillium Web"/>
                <w:b/>
                <w:spacing w:val="-1"/>
                <w:sz w:val="16"/>
                <w:szCs w:val="16"/>
              </w:rPr>
            </w:pPr>
            <w:r w:rsidRPr="006343CE">
              <w:rPr>
                <w:rFonts w:ascii="Titillium Web" w:hAnsi="Titillium Web"/>
                <w:b/>
                <w:spacing w:val="-1"/>
                <w:sz w:val="16"/>
                <w:szCs w:val="16"/>
              </w:rPr>
              <w:t>campione voucher</w:t>
            </w:r>
          </w:p>
        </w:tc>
        <w:tc>
          <w:tcPr>
            <w:tcW w:w="1304" w:type="dxa"/>
            <w:vAlign w:val="center"/>
          </w:tcPr>
          <w:p w14:paraId="29BFF1CD" w14:textId="77777777" w:rsidR="00801F4F" w:rsidRPr="006343CE" w:rsidRDefault="00801F4F" w:rsidP="00FA0EEC">
            <w:pPr>
              <w:pStyle w:val="Corpotesto"/>
              <w:ind w:right="227"/>
              <w:jc w:val="center"/>
              <w:rPr>
                <w:rFonts w:ascii="Titillium Web" w:hAnsi="Titillium Web"/>
                <w:spacing w:val="-1"/>
                <w:sz w:val="16"/>
                <w:szCs w:val="16"/>
              </w:rPr>
            </w:pPr>
            <w:r w:rsidRPr="006343CE">
              <w:rPr>
                <w:rFonts w:ascii="Titillium Web" w:hAnsi="Titillium Web"/>
                <w:spacing w:val="-1"/>
                <w:sz w:val="16"/>
                <w:szCs w:val="16"/>
              </w:rPr>
              <w:t>20</w:t>
            </w:r>
          </w:p>
        </w:tc>
        <w:tc>
          <w:tcPr>
            <w:tcW w:w="1304" w:type="dxa"/>
            <w:vAlign w:val="center"/>
          </w:tcPr>
          <w:p w14:paraId="43AC15B9" w14:textId="77777777" w:rsidR="00801F4F" w:rsidRPr="006343CE" w:rsidRDefault="00801F4F" w:rsidP="00FA0EEC">
            <w:pPr>
              <w:pStyle w:val="Corpotesto"/>
              <w:ind w:right="227"/>
              <w:jc w:val="center"/>
              <w:rPr>
                <w:rFonts w:ascii="Titillium Web" w:hAnsi="Titillium Web"/>
                <w:spacing w:val="-1"/>
                <w:sz w:val="16"/>
                <w:szCs w:val="16"/>
              </w:rPr>
            </w:pPr>
            <w:r w:rsidRPr="006343CE">
              <w:rPr>
                <w:rFonts w:ascii="Titillium Web" w:hAnsi="Titillium Web"/>
                <w:spacing w:val="-1"/>
                <w:sz w:val="16"/>
                <w:szCs w:val="16"/>
              </w:rPr>
              <w:t>50*</w:t>
            </w:r>
          </w:p>
        </w:tc>
        <w:tc>
          <w:tcPr>
            <w:tcW w:w="1304" w:type="dxa"/>
            <w:vAlign w:val="center"/>
          </w:tcPr>
          <w:p w14:paraId="3BCA224A" w14:textId="77777777" w:rsidR="00801F4F" w:rsidRPr="006343CE" w:rsidRDefault="00801F4F" w:rsidP="00FA0EEC">
            <w:pPr>
              <w:pStyle w:val="Corpotesto"/>
              <w:ind w:right="227"/>
              <w:jc w:val="center"/>
              <w:rPr>
                <w:rFonts w:ascii="Titillium Web" w:hAnsi="Titillium Web"/>
                <w:spacing w:val="-1"/>
                <w:sz w:val="16"/>
                <w:szCs w:val="16"/>
              </w:rPr>
            </w:pPr>
            <w:r w:rsidRPr="006343CE">
              <w:rPr>
                <w:rFonts w:ascii="Titillium Web" w:hAnsi="Titillium Web"/>
                <w:spacing w:val="-1"/>
                <w:sz w:val="16"/>
                <w:szCs w:val="16"/>
              </w:rPr>
              <w:t>70*</w:t>
            </w:r>
          </w:p>
        </w:tc>
      </w:tr>
    </w:tbl>
    <w:p w14:paraId="09C83E36" w14:textId="77777777" w:rsidR="00801F4F" w:rsidRPr="006343CE" w:rsidRDefault="00801F4F" w:rsidP="00801F4F">
      <w:pPr>
        <w:pStyle w:val="Corpotesto"/>
        <w:ind w:left="1418" w:right="227" w:firstLine="709"/>
        <w:jc w:val="both"/>
        <w:rPr>
          <w:rFonts w:ascii="Titillium Web" w:hAnsi="Titillium Web"/>
          <w:i/>
          <w:spacing w:val="-1"/>
          <w:sz w:val="16"/>
          <w:szCs w:val="16"/>
        </w:rPr>
      </w:pPr>
      <w:r w:rsidRPr="006343CE">
        <w:rPr>
          <w:rFonts w:ascii="Titillium Web" w:hAnsi="Titillium Web"/>
          <w:i/>
          <w:spacing w:val="-1"/>
          <w:sz w:val="16"/>
          <w:szCs w:val="16"/>
        </w:rPr>
        <w:t xml:space="preserve"> *In fase di analisi</w:t>
      </w:r>
    </w:p>
    <w:p w14:paraId="62075FC7" w14:textId="77777777" w:rsidR="00801F4F" w:rsidRPr="0055655F" w:rsidRDefault="00801F4F" w:rsidP="00801F4F">
      <w:r w:rsidRPr="0055655F">
        <w:t>Tale suddivisione deriva dalla necessità di operare, all’interno dell’eterogeneo panorama dei soggetti partecipanti e di manifestazioni fieristiche, secondo una metodologia che abbia come principale obiettivo quello di recuperare valori confrontabili per poter realizzare un raffronto complessivo in grado di restituire uno schema di bilancio di riferimento. Sulla base dello schema identificato si innesterà, a seguito dell’analisi dei documenti di spesa agli atti della Sezione, la quantificazione, per ciascuna voce di bilancio identificata, delle somme forfettarie parziali e, in un secondo momento, della somma forfettaria generale in grado di restituire un valore adeguato al sostegno alla partecipazione ad una fiera commerciale internazionale, così come previsto dalla attività A1 dell’Avviso</w:t>
      </w:r>
      <w:r>
        <w:t xml:space="preserve"> oggetto di analisi.</w:t>
      </w:r>
    </w:p>
    <w:p w14:paraId="4FF23E0B" w14:textId="77777777" w:rsidR="00801F4F" w:rsidRPr="0055655F" w:rsidRDefault="00801F4F" w:rsidP="00801F4F">
      <w:pPr>
        <w:spacing w:after="120"/>
      </w:pPr>
      <w:r w:rsidRPr="0055655F">
        <w:t>Lo schema da seguire per l’analisi dei documenti di spesa, seguendo l’impostazione riportata negli avvisi 2017 e 2018-2019 dovrebbe prevedere l’elaborazione del seguente schema di bilancio:</w:t>
      </w:r>
    </w:p>
    <w:tbl>
      <w:tblPr>
        <w:tblW w:w="9758" w:type="dxa"/>
        <w:jc w:val="center"/>
        <w:tbl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insideH w:val="single" w:sz="8" w:space="0" w:color="525252" w:themeColor="accent3" w:themeShade="80"/>
          <w:insideV w:val="single" w:sz="8" w:space="0" w:color="525252" w:themeColor="accent3" w:themeShade="80"/>
        </w:tblBorders>
        <w:tblCellMar>
          <w:left w:w="70" w:type="dxa"/>
          <w:right w:w="70" w:type="dxa"/>
        </w:tblCellMar>
        <w:tblLook w:val="04A0" w:firstRow="1" w:lastRow="0" w:firstColumn="1" w:lastColumn="0" w:noHBand="0" w:noVBand="1"/>
      </w:tblPr>
      <w:tblGrid>
        <w:gridCol w:w="1407"/>
        <w:gridCol w:w="710"/>
        <w:gridCol w:w="6368"/>
        <w:gridCol w:w="1273"/>
      </w:tblGrid>
      <w:tr w:rsidR="00801F4F" w:rsidRPr="006343CE" w14:paraId="2DCB71BC" w14:textId="77777777" w:rsidTr="00FA0EEC">
        <w:trPr>
          <w:trHeight w:val="732"/>
          <w:jc w:val="center"/>
        </w:trPr>
        <w:tc>
          <w:tcPr>
            <w:tcW w:w="1407" w:type="dxa"/>
            <w:tcBorders>
              <w:right w:val="nil"/>
            </w:tcBorders>
            <w:shd w:val="clear" w:color="auto" w:fill="2F5496" w:themeFill="accent1" w:themeFillShade="BF"/>
            <w:vAlign w:val="center"/>
            <w:hideMark/>
          </w:tcPr>
          <w:p w14:paraId="1B43034A" w14:textId="77777777" w:rsidR="00801F4F" w:rsidRPr="006343CE" w:rsidRDefault="00801F4F" w:rsidP="00FA0EEC">
            <w:pPr>
              <w:jc w:val="right"/>
              <w:rPr>
                <w:rFonts w:cs="Calibri"/>
                <w:b/>
                <w:color w:val="FFFFFF"/>
                <w:sz w:val="16"/>
                <w:szCs w:val="16"/>
              </w:rPr>
            </w:pPr>
            <w:r w:rsidRPr="0055655F">
              <w:rPr>
                <w:spacing w:val="-1"/>
                <w:szCs w:val="20"/>
              </w:rPr>
              <w:t xml:space="preserve"> </w:t>
            </w:r>
            <w:r w:rsidRPr="006343CE">
              <w:rPr>
                <w:rFonts w:cs="Calibri"/>
                <w:b/>
                <w:color w:val="FFFFFF"/>
                <w:sz w:val="16"/>
                <w:szCs w:val="16"/>
              </w:rPr>
              <w:t> </w:t>
            </w:r>
          </w:p>
        </w:tc>
        <w:tc>
          <w:tcPr>
            <w:tcW w:w="710" w:type="dxa"/>
            <w:tcBorders>
              <w:left w:val="nil"/>
              <w:right w:val="nil"/>
            </w:tcBorders>
            <w:shd w:val="clear" w:color="auto" w:fill="2F5496" w:themeFill="accent1" w:themeFillShade="BF"/>
            <w:vAlign w:val="center"/>
            <w:hideMark/>
          </w:tcPr>
          <w:p w14:paraId="74E1F8CF" w14:textId="77777777" w:rsidR="00801F4F" w:rsidRPr="006343CE" w:rsidRDefault="00801F4F" w:rsidP="00FA0EEC">
            <w:pPr>
              <w:jc w:val="center"/>
              <w:rPr>
                <w:rFonts w:cs="Calibri"/>
                <w:b/>
                <w:color w:val="FFFFFF"/>
                <w:sz w:val="16"/>
                <w:szCs w:val="16"/>
              </w:rPr>
            </w:pPr>
            <w:r w:rsidRPr="006343CE">
              <w:rPr>
                <w:rFonts w:cs="Calibri"/>
                <w:b/>
                <w:color w:val="FFFFFF"/>
                <w:sz w:val="16"/>
                <w:szCs w:val="16"/>
              </w:rPr>
              <w:t>Lett.</w:t>
            </w:r>
          </w:p>
        </w:tc>
        <w:tc>
          <w:tcPr>
            <w:tcW w:w="6368" w:type="dxa"/>
            <w:tcBorders>
              <w:left w:val="nil"/>
              <w:right w:val="nil"/>
            </w:tcBorders>
            <w:shd w:val="clear" w:color="auto" w:fill="2F5496" w:themeFill="accent1" w:themeFillShade="BF"/>
            <w:vAlign w:val="center"/>
            <w:hideMark/>
          </w:tcPr>
          <w:p w14:paraId="1C130F9E" w14:textId="77777777" w:rsidR="00801F4F" w:rsidRPr="006343CE" w:rsidRDefault="00801F4F" w:rsidP="00FA0EEC">
            <w:pPr>
              <w:jc w:val="center"/>
              <w:rPr>
                <w:rFonts w:cs="Calibri"/>
                <w:b/>
                <w:color w:val="FFFFFF"/>
                <w:sz w:val="16"/>
                <w:szCs w:val="16"/>
              </w:rPr>
            </w:pPr>
            <w:r w:rsidRPr="006343CE">
              <w:rPr>
                <w:rFonts w:cs="Calibri"/>
                <w:b/>
                <w:color w:val="FFFFFF"/>
                <w:sz w:val="16"/>
                <w:szCs w:val="16"/>
              </w:rPr>
              <w:t>Tipologia voce di spesa</w:t>
            </w:r>
          </w:p>
        </w:tc>
        <w:tc>
          <w:tcPr>
            <w:tcW w:w="1273" w:type="dxa"/>
            <w:tcBorders>
              <w:left w:val="nil"/>
            </w:tcBorders>
            <w:shd w:val="clear" w:color="auto" w:fill="2F5496" w:themeFill="accent1" w:themeFillShade="BF"/>
            <w:vAlign w:val="center"/>
            <w:hideMark/>
          </w:tcPr>
          <w:p w14:paraId="224AE1F6" w14:textId="77777777" w:rsidR="00801F4F" w:rsidRPr="006343CE" w:rsidRDefault="00801F4F" w:rsidP="00FA0EEC">
            <w:pPr>
              <w:jc w:val="center"/>
              <w:rPr>
                <w:rFonts w:cs="Calibri"/>
                <w:b/>
                <w:color w:val="FFFFFF"/>
                <w:sz w:val="16"/>
                <w:szCs w:val="16"/>
              </w:rPr>
            </w:pPr>
            <w:r w:rsidRPr="006343CE">
              <w:rPr>
                <w:rFonts w:cs="Calibri"/>
                <w:b/>
                <w:color w:val="FFFFFF"/>
                <w:sz w:val="16"/>
                <w:szCs w:val="16"/>
              </w:rPr>
              <w:t>Importo forfettario proposto</w:t>
            </w:r>
          </w:p>
        </w:tc>
      </w:tr>
      <w:tr w:rsidR="00801F4F" w:rsidRPr="006343CE" w14:paraId="47E4D629" w14:textId="77777777" w:rsidTr="00FA0EEC">
        <w:trPr>
          <w:trHeight w:val="290"/>
          <w:jc w:val="center"/>
        </w:trPr>
        <w:tc>
          <w:tcPr>
            <w:tcW w:w="1407" w:type="dxa"/>
            <w:vMerge w:val="restart"/>
            <w:shd w:val="clear" w:color="auto" w:fill="auto"/>
            <w:vAlign w:val="center"/>
            <w:hideMark/>
          </w:tcPr>
          <w:p w14:paraId="70D70B31" w14:textId="77777777" w:rsidR="00801F4F" w:rsidRPr="006343CE" w:rsidRDefault="00801F4F" w:rsidP="00FA0EEC">
            <w:pPr>
              <w:jc w:val="center"/>
              <w:rPr>
                <w:rFonts w:cs="Calibri"/>
                <w:b/>
                <w:bCs/>
                <w:color w:val="000000"/>
                <w:sz w:val="16"/>
                <w:szCs w:val="16"/>
              </w:rPr>
            </w:pPr>
            <w:r w:rsidRPr="006343CE">
              <w:rPr>
                <w:rFonts w:cs="Calibri"/>
                <w:b/>
                <w:bCs/>
                <w:color w:val="000000"/>
                <w:sz w:val="16"/>
                <w:szCs w:val="16"/>
              </w:rPr>
              <w:t>Costi diretti</w:t>
            </w:r>
          </w:p>
        </w:tc>
        <w:tc>
          <w:tcPr>
            <w:tcW w:w="710" w:type="dxa"/>
            <w:shd w:val="clear" w:color="auto" w:fill="auto"/>
            <w:vAlign w:val="center"/>
            <w:hideMark/>
          </w:tcPr>
          <w:p w14:paraId="04D54519" w14:textId="77777777" w:rsidR="00801F4F" w:rsidRPr="006343CE" w:rsidRDefault="00801F4F" w:rsidP="00FA0EEC">
            <w:pPr>
              <w:jc w:val="center"/>
              <w:rPr>
                <w:rFonts w:cs="Calibri"/>
                <w:color w:val="000000"/>
                <w:sz w:val="16"/>
                <w:szCs w:val="16"/>
              </w:rPr>
            </w:pPr>
            <w:r w:rsidRPr="006343CE">
              <w:rPr>
                <w:rFonts w:cs="Calibri"/>
                <w:color w:val="000000"/>
                <w:sz w:val="16"/>
                <w:szCs w:val="16"/>
              </w:rPr>
              <w:t>A</w:t>
            </w:r>
          </w:p>
        </w:tc>
        <w:tc>
          <w:tcPr>
            <w:tcW w:w="6368" w:type="dxa"/>
            <w:shd w:val="clear" w:color="auto" w:fill="auto"/>
            <w:vAlign w:val="center"/>
            <w:hideMark/>
          </w:tcPr>
          <w:p w14:paraId="04C891F3" w14:textId="77777777" w:rsidR="00801F4F" w:rsidRPr="006343CE" w:rsidRDefault="00801F4F" w:rsidP="00FA0EEC">
            <w:pPr>
              <w:rPr>
                <w:rFonts w:cs="Calibri"/>
                <w:color w:val="000000"/>
                <w:sz w:val="16"/>
                <w:szCs w:val="16"/>
              </w:rPr>
            </w:pPr>
            <w:r w:rsidRPr="006343CE">
              <w:rPr>
                <w:rFonts w:cs="Calibri"/>
                <w:color w:val="000000"/>
                <w:sz w:val="16"/>
                <w:szCs w:val="16"/>
              </w:rPr>
              <w:t>Spese per l'affitto di spazi espositivi (ivi compresi eventuali oneri di iscrizione, diritti fissi, etc.)</w:t>
            </w:r>
          </w:p>
        </w:tc>
        <w:tc>
          <w:tcPr>
            <w:tcW w:w="1273" w:type="dxa"/>
            <w:shd w:val="clear" w:color="auto" w:fill="auto"/>
            <w:vAlign w:val="center"/>
            <w:hideMark/>
          </w:tcPr>
          <w:p w14:paraId="1D93BDCB" w14:textId="77777777" w:rsidR="00801F4F" w:rsidRPr="006343CE" w:rsidRDefault="00801F4F" w:rsidP="00FA0EEC">
            <w:pPr>
              <w:jc w:val="right"/>
              <w:rPr>
                <w:rFonts w:cs="Calibri"/>
                <w:color w:val="000000"/>
                <w:sz w:val="16"/>
                <w:szCs w:val="16"/>
              </w:rPr>
            </w:pPr>
            <w:r w:rsidRPr="006343CE">
              <w:rPr>
                <w:rFonts w:cs="Calibri"/>
                <w:color w:val="000000"/>
                <w:sz w:val="16"/>
                <w:szCs w:val="16"/>
              </w:rPr>
              <w:t xml:space="preserve">   11.000,00   </w:t>
            </w:r>
          </w:p>
        </w:tc>
      </w:tr>
      <w:tr w:rsidR="00801F4F" w:rsidRPr="006343CE" w14:paraId="193DCA60" w14:textId="77777777" w:rsidTr="00FA0EEC">
        <w:trPr>
          <w:trHeight w:val="258"/>
          <w:jc w:val="center"/>
        </w:trPr>
        <w:tc>
          <w:tcPr>
            <w:tcW w:w="1407" w:type="dxa"/>
            <w:vMerge/>
            <w:vAlign w:val="center"/>
            <w:hideMark/>
          </w:tcPr>
          <w:p w14:paraId="30F8AC53" w14:textId="77777777" w:rsidR="00801F4F" w:rsidRPr="006343CE" w:rsidRDefault="00801F4F" w:rsidP="00FA0EEC">
            <w:pPr>
              <w:rPr>
                <w:rFonts w:cs="Calibri"/>
                <w:b/>
                <w:bCs/>
                <w:color w:val="000000"/>
                <w:sz w:val="16"/>
                <w:szCs w:val="16"/>
              </w:rPr>
            </w:pPr>
          </w:p>
        </w:tc>
        <w:tc>
          <w:tcPr>
            <w:tcW w:w="710" w:type="dxa"/>
            <w:shd w:val="clear" w:color="auto" w:fill="auto"/>
            <w:vAlign w:val="center"/>
            <w:hideMark/>
          </w:tcPr>
          <w:p w14:paraId="4EF7C64A" w14:textId="77777777" w:rsidR="00801F4F" w:rsidRPr="006343CE" w:rsidRDefault="00801F4F" w:rsidP="00FA0EEC">
            <w:pPr>
              <w:jc w:val="center"/>
              <w:rPr>
                <w:rFonts w:cs="Calibri"/>
                <w:color w:val="000000"/>
                <w:sz w:val="16"/>
                <w:szCs w:val="16"/>
              </w:rPr>
            </w:pPr>
            <w:r w:rsidRPr="006343CE">
              <w:rPr>
                <w:rFonts w:cs="Calibri"/>
                <w:color w:val="000000"/>
                <w:sz w:val="16"/>
                <w:szCs w:val="16"/>
              </w:rPr>
              <w:t>B</w:t>
            </w:r>
          </w:p>
        </w:tc>
        <w:tc>
          <w:tcPr>
            <w:tcW w:w="6368" w:type="dxa"/>
            <w:shd w:val="clear" w:color="auto" w:fill="auto"/>
            <w:vAlign w:val="center"/>
            <w:hideMark/>
          </w:tcPr>
          <w:p w14:paraId="127EF26E" w14:textId="77777777" w:rsidR="00801F4F" w:rsidRPr="006343CE" w:rsidRDefault="00801F4F" w:rsidP="00FA0EEC">
            <w:pPr>
              <w:rPr>
                <w:rFonts w:cs="Calibri"/>
                <w:color w:val="000000"/>
                <w:sz w:val="16"/>
                <w:szCs w:val="16"/>
              </w:rPr>
            </w:pPr>
            <w:r w:rsidRPr="006343CE">
              <w:rPr>
                <w:rFonts w:cs="Calibri"/>
                <w:color w:val="000000"/>
                <w:sz w:val="16"/>
                <w:szCs w:val="16"/>
              </w:rPr>
              <w:t>Spese per l'allestimento e manutenzione degli spazi espositivi (ivi compresi costi di pulizia, facchinaggio, allacciamento utenze, etc,)</w:t>
            </w:r>
          </w:p>
        </w:tc>
        <w:tc>
          <w:tcPr>
            <w:tcW w:w="1273" w:type="dxa"/>
            <w:shd w:val="clear" w:color="auto" w:fill="auto"/>
            <w:vAlign w:val="center"/>
            <w:hideMark/>
          </w:tcPr>
          <w:p w14:paraId="2B272EDE" w14:textId="77777777" w:rsidR="00801F4F" w:rsidRPr="006343CE" w:rsidRDefault="00801F4F" w:rsidP="00FA0EEC">
            <w:pPr>
              <w:jc w:val="right"/>
              <w:rPr>
                <w:rFonts w:cs="Calibri"/>
                <w:color w:val="000000"/>
                <w:sz w:val="16"/>
                <w:szCs w:val="16"/>
              </w:rPr>
            </w:pPr>
            <w:r w:rsidRPr="006343CE">
              <w:rPr>
                <w:rFonts w:cs="Calibri"/>
                <w:color w:val="000000"/>
                <w:sz w:val="16"/>
                <w:szCs w:val="16"/>
              </w:rPr>
              <w:t xml:space="preserve">   10.000,00   </w:t>
            </w:r>
          </w:p>
        </w:tc>
      </w:tr>
      <w:tr w:rsidR="00801F4F" w:rsidRPr="006343CE" w14:paraId="7C3B0423" w14:textId="77777777" w:rsidTr="00FA0EEC">
        <w:trPr>
          <w:trHeight w:val="492"/>
          <w:jc w:val="center"/>
        </w:trPr>
        <w:tc>
          <w:tcPr>
            <w:tcW w:w="1407" w:type="dxa"/>
            <w:vMerge/>
            <w:vAlign w:val="center"/>
            <w:hideMark/>
          </w:tcPr>
          <w:p w14:paraId="7289828A" w14:textId="77777777" w:rsidR="00801F4F" w:rsidRPr="006343CE" w:rsidRDefault="00801F4F" w:rsidP="00FA0EEC">
            <w:pPr>
              <w:rPr>
                <w:rFonts w:cs="Calibri"/>
                <w:b/>
                <w:bCs/>
                <w:color w:val="000000"/>
                <w:sz w:val="16"/>
                <w:szCs w:val="16"/>
              </w:rPr>
            </w:pPr>
          </w:p>
        </w:tc>
        <w:tc>
          <w:tcPr>
            <w:tcW w:w="710" w:type="dxa"/>
            <w:shd w:val="clear" w:color="auto" w:fill="auto"/>
            <w:vAlign w:val="center"/>
            <w:hideMark/>
          </w:tcPr>
          <w:p w14:paraId="2061D4C8" w14:textId="77777777" w:rsidR="00801F4F" w:rsidRPr="006343CE" w:rsidRDefault="00801F4F" w:rsidP="00FA0EEC">
            <w:pPr>
              <w:jc w:val="center"/>
              <w:rPr>
                <w:rFonts w:cs="Calibri"/>
                <w:color w:val="000000"/>
                <w:sz w:val="16"/>
                <w:szCs w:val="16"/>
              </w:rPr>
            </w:pPr>
            <w:r w:rsidRPr="006343CE">
              <w:rPr>
                <w:rFonts w:cs="Calibri"/>
                <w:color w:val="000000"/>
                <w:sz w:val="16"/>
                <w:szCs w:val="16"/>
              </w:rPr>
              <w:t>C</w:t>
            </w:r>
          </w:p>
        </w:tc>
        <w:tc>
          <w:tcPr>
            <w:tcW w:w="6368" w:type="dxa"/>
            <w:shd w:val="clear" w:color="auto" w:fill="auto"/>
            <w:vAlign w:val="center"/>
            <w:hideMark/>
          </w:tcPr>
          <w:p w14:paraId="642CBED1" w14:textId="77777777" w:rsidR="00801F4F" w:rsidRPr="006343CE" w:rsidRDefault="00801F4F" w:rsidP="00FA0EEC">
            <w:pPr>
              <w:rPr>
                <w:rFonts w:cs="Calibri"/>
                <w:color w:val="000000"/>
                <w:sz w:val="16"/>
                <w:szCs w:val="16"/>
              </w:rPr>
            </w:pPr>
            <w:r w:rsidRPr="006343CE">
              <w:rPr>
                <w:rFonts w:cs="Calibri"/>
                <w:color w:val="000000"/>
                <w:sz w:val="16"/>
                <w:szCs w:val="16"/>
              </w:rPr>
              <w:t>Spese di inserimento nel catalogo della manifestazione fieristica</w:t>
            </w:r>
          </w:p>
        </w:tc>
        <w:tc>
          <w:tcPr>
            <w:tcW w:w="1273" w:type="dxa"/>
            <w:shd w:val="clear" w:color="auto" w:fill="auto"/>
            <w:vAlign w:val="center"/>
            <w:hideMark/>
          </w:tcPr>
          <w:p w14:paraId="23A140AD" w14:textId="77777777" w:rsidR="00801F4F" w:rsidRPr="006343CE" w:rsidRDefault="00801F4F" w:rsidP="00FA0EEC">
            <w:pPr>
              <w:jc w:val="right"/>
              <w:rPr>
                <w:rFonts w:cs="Calibri"/>
                <w:color w:val="000000"/>
                <w:sz w:val="16"/>
                <w:szCs w:val="16"/>
              </w:rPr>
            </w:pPr>
            <w:r w:rsidRPr="006343CE">
              <w:rPr>
                <w:rFonts w:cs="Calibri"/>
                <w:color w:val="000000"/>
                <w:sz w:val="16"/>
                <w:szCs w:val="16"/>
              </w:rPr>
              <w:t xml:space="preserve">       200,00   </w:t>
            </w:r>
          </w:p>
        </w:tc>
      </w:tr>
      <w:tr w:rsidR="00801F4F" w:rsidRPr="006343CE" w14:paraId="453BED04" w14:textId="77777777" w:rsidTr="00FA0EEC">
        <w:trPr>
          <w:trHeight w:val="300"/>
          <w:jc w:val="center"/>
        </w:trPr>
        <w:tc>
          <w:tcPr>
            <w:tcW w:w="1407" w:type="dxa"/>
            <w:vMerge/>
            <w:vAlign w:val="center"/>
            <w:hideMark/>
          </w:tcPr>
          <w:p w14:paraId="7F1AA401" w14:textId="77777777" w:rsidR="00801F4F" w:rsidRPr="006343CE" w:rsidRDefault="00801F4F" w:rsidP="00FA0EEC">
            <w:pPr>
              <w:rPr>
                <w:rFonts w:cs="Calibri"/>
                <w:b/>
                <w:bCs/>
                <w:color w:val="000000"/>
                <w:sz w:val="16"/>
                <w:szCs w:val="16"/>
              </w:rPr>
            </w:pPr>
          </w:p>
        </w:tc>
        <w:tc>
          <w:tcPr>
            <w:tcW w:w="710" w:type="dxa"/>
            <w:shd w:val="clear" w:color="auto" w:fill="auto"/>
            <w:vAlign w:val="center"/>
            <w:hideMark/>
          </w:tcPr>
          <w:p w14:paraId="3C12ACC8" w14:textId="77777777" w:rsidR="00801F4F" w:rsidRPr="006343CE" w:rsidRDefault="00801F4F" w:rsidP="00FA0EEC">
            <w:pPr>
              <w:jc w:val="center"/>
              <w:rPr>
                <w:rFonts w:cs="Calibri"/>
                <w:color w:val="000000"/>
                <w:sz w:val="16"/>
                <w:szCs w:val="16"/>
              </w:rPr>
            </w:pPr>
            <w:r w:rsidRPr="006343CE">
              <w:rPr>
                <w:rFonts w:cs="Calibri"/>
                <w:color w:val="000000"/>
                <w:sz w:val="16"/>
                <w:szCs w:val="16"/>
              </w:rPr>
              <w:t>D</w:t>
            </w:r>
          </w:p>
        </w:tc>
        <w:tc>
          <w:tcPr>
            <w:tcW w:w="6368" w:type="dxa"/>
            <w:shd w:val="clear" w:color="auto" w:fill="auto"/>
            <w:vAlign w:val="center"/>
            <w:hideMark/>
          </w:tcPr>
          <w:p w14:paraId="337B3638" w14:textId="77777777" w:rsidR="00801F4F" w:rsidRPr="006343CE" w:rsidRDefault="00801F4F" w:rsidP="00FA0EEC">
            <w:pPr>
              <w:rPr>
                <w:rFonts w:cs="Calibri"/>
                <w:color w:val="000000"/>
                <w:sz w:val="16"/>
                <w:szCs w:val="16"/>
              </w:rPr>
            </w:pPr>
            <w:r w:rsidRPr="006343CE">
              <w:rPr>
                <w:rFonts w:cs="Calibri"/>
                <w:color w:val="000000"/>
                <w:sz w:val="16"/>
                <w:szCs w:val="16"/>
              </w:rPr>
              <w:t>Spese di hostessing e interpretariato</w:t>
            </w:r>
          </w:p>
        </w:tc>
        <w:tc>
          <w:tcPr>
            <w:tcW w:w="1273" w:type="dxa"/>
            <w:shd w:val="clear" w:color="auto" w:fill="auto"/>
            <w:vAlign w:val="center"/>
            <w:hideMark/>
          </w:tcPr>
          <w:p w14:paraId="18DBD9B6" w14:textId="77777777" w:rsidR="00801F4F" w:rsidRPr="006343CE" w:rsidRDefault="00801F4F" w:rsidP="00FA0EEC">
            <w:pPr>
              <w:jc w:val="right"/>
              <w:rPr>
                <w:rFonts w:cs="Calibri"/>
                <w:color w:val="000000"/>
                <w:sz w:val="16"/>
                <w:szCs w:val="16"/>
              </w:rPr>
            </w:pPr>
            <w:r w:rsidRPr="006343CE">
              <w:rPr>
                <w:rFonts w:cs="Calibri"/>
                <w:color w:val="000000"/>
                <w:sz w:val="16"/>
                <w:szCs w:val="16"/>
              </w:rPr>
              <w:t xml:space="preserve">     2.000,00   </w:t>
            </w:r>
          </w:p>
        </w:tc>
      </w:tr>
      <w:tr w:rsidR="00801F4F" w:rsidRPr="006343CE" w14:paraId="36EFF3BD" w14:textId="77777777" w:rsidTr="00FA0EEC">
        <w:trPr>
          <w:trHeight w:val="473"/>
          <w:jc w:val="center"/>
        </w:trPr>
        <w:tc>
          <w:tcPr>
            <w:tcW w:w="1407" w:type="dxa"/>
            <w:vMerge/>
            <w:vAlign w:val="center"/>
            <w:hideMark/>
          </w:tcPr>
          <w:p w14:paraId="27007A63" w14:textId="77777777" w:rsidR="00801F4F" w:rsidRPr="006343CE" w:rsidRDefault="00801F4F" w:rsidP="00FA0EEC">
            <w:pPr>
              <w:rPr>
                <w:rFonts w:cs="Calibri"/>
                <w:b/>
                <w:bCs/>
                <w:color w:val="000000"/>
                <w:sz w:val="16"/>
                <w:szCs w:val="16"/>
              </w:rPr>
            </w:pPr>
          </w:p>
        </w:tc>
        <w:tc>
          <w:tcPr>
            <w:tcW w:w="710" w:type="dxa"/>
            <w:shd w:val="clear" w:color="auto" w:fill="auto"/>
            <w:vAlign w:val="center"/>
            <w:hideMark/>
          </w:tcPr>
          <w:p w14:paraId="5863E9D3" w14:textId="77777777" w:rsidR="00801F4F" w:rsidRPr="006343CE" w:rsidRDefault="00801F4F" w:rsidP="00FA0EEC">
            <w:pPr>
              <w:jc w:val="center"/>
              <w:rPr>
                <w:rFonts w:cs="Calibri"/>
                <w:color w:val="000000"/>
                <w:sz w:val="16"/>
                <w:szCs w:val="16"/>
              </w:rPr>
            </w:pPr>
            <w:r w:rsidRPr="006343CE">
              <w:rPr>
                <w:rFonts w:cs="Calibri"/>
                <w:color w:val="000000"/>
                <w:sz w:val="16"/>
                <w:szCs w:val="16"/>
              </w:rPr>
              <w:t>E</w:t>
            </w:r>
          </w:p>
        </w:tc>
        <w:tc>
          <w:tcPr>
            <w:tcW w:w="6368" w:type="dxa"/>
            <w:shd w:val="clear" w:color="auto" w:fill="auto"/>
            <w:vAlign w:val="center"/>
            <w:hideMark/>
          </w:tcPr>
          <w:p w14:paraId="0C0E36E5" w14:textId="77777777" w:rsidR="00801F4F" w:rsidRPr="006343CE" w:rsidRDefault="00801F4F" w:rsidP="00FA0EEC">
            <w:pPr>
              <w:rPr>
                <w:rFonts w:cs="Calibri"/>
                <w:color w:val="000000"/>
                <w:sz w:val="16"/>
                <w:szCs w:val="16"/>
              </w:rPr>
            </w:pPr>
            <w:r w:rsidRPr="006343CE">
              <w:rPr>
                <w:rFonts w:cs="Calibri"/>
                <w:color w:val="000000"/>
                <w:sz w:val="16"/>
                <w:szCs w:val="16"/>
              </w:rPr>
              <w:t>Spese di spedizione dei materiali promozionali, informativi e campionari da esporre nell'ambito della manifestazione)</w:t>
            </w:r>
          </w:p>
        </w:tc>
        <w:tc>
          <w:tcPr>
            <w:tcW w:w="1273" w:type="dxa"/>
            <w:shd w:val="clear" w:color="auto" w:fill="auto"/>
            <w:vAlign w:val="center"/>
            <w:hideMark/>
          </w:tcPr>
          <w:p w14:paraId="185CB09B" w14:textId="77777777" w:rsidR="00801F4F" w:rsidRPr="006343CE" w:rsidRDefault="00801F4F" w:rsidP="00FA0EEC">
            <w:pPr>
              <w:jc w:val="right"/>
              <w:rPr>
                <w:rFonts w:cs="Calibri"/>
                <w:color w:val="000000"/>
                <w:sz w:val="16"/>
                <w:szCs w:val="16"/>
              </w:rPr>
            </w:pPr>
            <w:r w:rsidRPr="006343CE">
              <w:rPr>
                <w:rFonts w:cs="Calibri"/>
                <w:color w:val="000000"/>
                <w:sz w:val="16"/>
                <w:szCs w:val="16"/>
              </w:rPr>
              <w:t xml:space="preserve">     3.400,00   </w:t>
            </w:r>
          </w:p>
        </w:tc>
      </w:tr>
      <w:tr w:rsidR="00801F4F" w:rsidRPr="006343CE" w14:paraId="04F477AD" w14:textId="77777777" w:rsidTr="00FA0EEC">
        <w:trPr>
          <w:trHeight w:val="709"/>
          <w:jc w:val="center"/>
        </w:trPr>
        <w:tc>
          <w:tcPr>
            <w:tcW w:w="1407" w:type="dxa"/>
            <w:vMerge/>
            <w:vAlign w:val="center"/>
            <w:hideMark/>
          </w:tcPr>
          <w:p w14:paraId="2E6673CD" w14:textId="77777777" w:rsidR="00801F4F" w:rsidRPr="006343CE" w:rsidRDefault="00801F4F" w:rsidP="00FA0EEC">
            <w:pPr>
              <w:rPr>
                <w:rFonts w:cs="Calibri"/>
                <w:b/>
                <w:bCs/>
                <w:color w:val="000000"/>
                <w:sz w:val="16"/>
                <w:szCs w:val="16"/>
              </w:rPr>
            </w:pPr>
          </w:p>
        </w:tc>
        <w:tc>
          <w:tcPr>
            <w:tcW w:w="710" w:type="dxa"/>
            <w:shd w:val="clear" w:color="auto" w:fill="auto"/>
            <w:vAlign w:val="center"/>
            <w:hideMark/>
          </w:tcPr>
          <w:p w14:paraId="2B7546A8" w14:textId="77777777" w:rsidR="00801F4F" w:rsidRPr="006343CE" w:rsidRDefault="00801F4F" w:rsidP="00FA0EEC">
            <w:pPr>
              <w:jc w:val="center"/>
              <w:rPr>
                <w:rFonts w:cs="Calibri"/>
                <w:color w:val="000000"/>
                <w:sz w:val="16"/>
                <w:szCs w:val="16"/>
              </w:rPr>
            </w:pPr>
            <w:r w:rsidRPr="006343CE">
              <w:rPr>
                <w:rFonts w:cs="Calibri"/>
                <w:color w:val="000000"/>
                <w:sz w:val="16"/>
                <w:szCs w:val="16"/>
              </w:rPr>
              <w:t>F</w:t>
            </w:r>
          </w:p>
        </w:tc>
        <w:tc>
          <w:tcPr>
            <w:tcW w:w="6368" w:type="dxa"/>
            <w:shd w:val="clear" w:color="auto" w:fill="auto"/>
            <w:vAlign w:val="center"/>
            <w:hideMark/>
          </w:tcPr>
          <w:p w14:paraId="4D2463F0" w14:textId="77777777" w:rsidR="00801F4F" w:rsidRPr="006343CE" w:rsidRDefault="00801F4F" w:rsidP="00FA0EEC">
            <w:pPr>
              <w:rPr>
                <w:rFonts w:cs="Calibri"/>
                <w:color w:val="000000"/>
                <w:sz w:val="16"/>
                <w:szCs w:val="16"/>
              </w:rPr>
            </w:pPr>
            <w:r w:rsidRPr="006343CE">
              <w:rPr>
                <w:rFonts w:cs="Calibri"/>
                <w:color w:val="000000"/>
                <w:sz w:val="16"/>
                <w:szCs w:val="16"/>
              </w:rPr>
              <w:t>Spese di verifica preliminare dei requisiti di registrabilità e spese di deposito di domande di registrazione di marchi dell'UE e internazionali al fine di proteggere tali marchi sui mercati internazionali</w:t>
            </w:r>
          </w:p>
        </w:tc>
        <w:tc>
          <w:tcPr>
            <w:tcW w:w="1273" w:type="dxa"/>
            <w:shd w:val="clear" w:color="auto" w:fill="auto"/>
            <w:vAlign w:val="center"/>
            <w:hideMark/>
          </w:tcPr>
          <w:p w14:paraId="081ABDEA" w14:textId="77777777" w:rsidR="00801F4F" w:rsidRPr="006343CE" w:rsidRDefault="00801F4F" w:rsidP="00FA0EEC">
            <w:pPr>
              <w:jc w:val="right"/>
              <w:rPr>
                <w:rFonts w:cs="Calibri"/>
                <w:color w:val="000000"/>
                <w:sz w:val="16"/>
                <w:szCs w:val="16"/>
              </w:rPr>
            </w:pPr>
            <w:r w:rsidRPr="006343CE">
              <w:rPr>
                <w:rFonts w:cs="Calibri"/>
                <w:color w:val="000000"/>
                <w:sz w:val="16"/>
                <w:szCs w:val="16"/>
              </w:rPr>
              <w:t xml:space="preserve">     2.000,00   </w:t>
            </w:r>
          </w:p>
        </w:tc>
      </w:tr>
      <w:tr w:rsidR="00801F4F" w:rsidRPr="006343CE" w14:paraId="323ADA99" w14:textId="77777777" w:rsidTr="00FA0EEC">
        <w:trPr>
          <w:trHeight w:val="300"/>
          <w:jc w:val="center"/>
        </w:trPr>
        <w:tc>
          <w:tcPr>
            <w:tcW w:w="8485" w:type="dxa"/>
            <w:gridSpan w:val="3"/>
            <w:shd w:val="clear" w:color="auto" w:fill="auto"/>
            <w:vAlign w:val="center"/>
            <w:hideMark/>
          </w:tcPr>
          <w:p w14:paraId="319FEE22" w14:textId="77777777" w:rsidR="00801F4F" w:rsidRPr="006343CE" w:rsidRDefault="00801F4F" w:rsidP="00FA0EEC">
            <w:pPr>
              <w:jc w:val="right"/>
              <w:rPr>
                <w:rFonts w:cs="Calibri"/>
                <w:b/>
                <w:bCs/>
                <w:color w:val="000000"/>
                <w:sz w:val="16"/>
                <w:szCs w:val="16"/>
              </w:rPr>
            </w:pPr>
            <w:r w:rsidRPr="006343CE">
              <w:rPr>
                <w:rFonts w:cs="Calibri"/>
                <w:b/>
                <w:bCs/>
                <w:color w:val="000000"/>
                <w:sz w:val="16"/>
                <w:szCs w:val="16"/>
              </w:rPr>
              <w:t>Totale costi diretti</w:t>
            </w:r>
          </w:p>
        </w:tc>
        <w:tc>
          <w:tcPr>
            <w:tcW w:w="1273" w:type="dxa"/>
            <w:shd w:val="clear" w:color="auto" w:fill="auto"/>
            <w:vAlign w:val="center"/>
            <w:hideMark/>
          </w:tcPr>
          <w:p w14:paraId="5F7F505D" w14:textId="77777777" w:rsidR="00801F4F" w:rsidRPr="006343CE" w:rsidRDefault="00801F4F" w:rsidP="00FA0EEC">
            <w:pPr>
              <w:jc w:val="right"/>
              <w:rPr>
                <w:rFonts w:cs="Calibri"/>
                <w:b/>
                <w:bCs/>
                <w:color w:val="000000"/>
                <w:sz w:val="16"/>
                <w:szCs w:val="16"/>
              </w:rPr>
            </w:pPr>
            <w:r w:rsidRPr="006343CE">
              <w:rPr>
                <w:rFonts w:cs="Calibri"/>
                <w:b/>
                <w:bCs/>
                <w:color w:val="000000"/>
                <w:sz w:val="16"/>
                <w:szCs w:val="16"/>
              </w:rPr>
              <w:t xml:space="preserve">  28.600,00   </w:t>
            </w:r>
          </w:p>
        </w:tc>
      </w:tr>
      <w:tr w:rsidR="00801F4F" w:rsidRPr="006343CE" w14:paraId="4D9A53EA" w14:textId="77777777" w:rsidTr="00FA0EEC">
        <w:trPr>
          <w:trHeight w:val="492"/>
          <w:jc w:val="center"/>
        </w:trPr>
        <w:tc>
          <w:tcPr>
            <w:tcW w:w="1407" w:type="dxa"/>
            <w:shd w:val="clear" w:color="auto" w:fill="auto"/>
            <w:vAlign w:val="center"/>
            <w:hideMark/>
          </w:tcPr>
          <w:p w14:paraId="16E0FF1E" w14:textId="77777777" w:rsidR="00801F4F" w:rsidRPr="006343CE" w:rsidRDefault="00801F4F" w:rsidP="00FA0EEC">
            <w:pPr>
              <w:jc w:val="center"/>
              <w:rPr>
                <w:rFonts w:cs="Calibri"/>
                <w:b/>
                <w:bCs/>
                <w:color w:val="000000"/>
                <w:sz w:val="16"/>
                <w:szCs w:val="16"/>
              </w:rPr>
            </w:pPr>
            <w:r w:rsidRPr="006343CE">
              <w:rPr>
                <w:rFonts w:cs="Calibri"/>
                <w:b/>
                <w:bCs/>
                <w:color w:val="000000"/>
                <w:sz w:val="16"/>
                <w:szCs w:val="16"/>
              </w:rPr>
              <w:t>Costi diretti di personale</w:t>
            </w:r>
          </w:p>
        </w:tc>
        <w:tc>
          <w:tcPr>
            <w:tcW w:w="710" w:type="dxa"/>
            <w:shd w:val="clear" w:color="auto" w:fill="auto"/>
            <w:vAlign w:val="center"/>
            <w:hideMark/>
          </w:tcPr>
          <w:p w14:paraId="50A7EC14" w14:textId="77777777" w:rsidR="00801F4F" w:rsidRPr="006343CE" w:rsidRDefault="00801F4F" w:rsidP="00FA0EEC">
            <w:pPr>
              <w:jc w:val="center"/>
              <w:rPr>
                <w:rFonts w:cs="Calibri"/>
                <w:color w:val="000000"/>
                <w:sz w:val="16"/>
                <w:szCs w:val="16"/>
              </w:rPr>
            </w:pPr>
            <w:r w:rsidRPr="006343CE">
              <w:rPr>
                <w:rFonts w:cs="Calibri"/>
                <w:color w:val="000000"/>
                <w:sz w:val="16"/>
                <w:szCs w:val="16"/>
              </w:rPr>
              <w:t>G</w:t>
            </w:r>
          </w:p>
        </w:tc>
        <w:tc>
          <w:tcPr>
            <w:tcW w:w="6368" w:type="dxa"/>
            <w:shd w:val="clear" w:color="auto" w:fill="auto"/>
            <w:vAlign w:val="center"/>
            <w:hideMark/>
          </w:tcPr>
          <w:p w14:paraId="55188E5C" w14:textId="77777777" w:rsidR="00801F4F" w:rsidRPr="006343CE" w:rsidRDefault="00801F4F" w:rsidP="00FA0EEC">
            <w:pPr>
              <w:rPr>
                <w:rFonts w:cs="Calibri"/>
                <w:color w:val="000000"/>
                <w:sz w:val="16"/>
                <w:szCs w:val="16"/>
              </w:rPr>
            </w:pPr>
            <w:r w:rsidRPr="006343CE">
              <w:rPr>
                <w:rFonts w:cs="Calibri"/>
                <w:color w:val="000000"/>
                <w:sz w:val="16"/>
                <w:szCs w:val="16"/>
              </w:rPr>
              <w:t>Totale costi diretti per le spese di personale (20% dei costi diretti)</w:t>
            </w:r>
          </w:p>
        </w:tc>
        <w:tc>
          <w:tcPr>
            <w:tcW w:w="1273" w:type="dxa"/>
            <w:shd w:val="clear" w:color="auto" w:fill="auto"/>
            <w:vAlign w:val="center"/>
            <w:hideMark/>
          </w:tcPr>
          <w:p w14:paraId="2A1A4A1F" w14:textId="77777777" w:rsidR="00801F4F" w:rsidRPr="006343CE" w:rsidRDefault="00801F4F" w:rsidP="00FA0EEC">
            <w:pPr>
              <w:jc w:val="right"/>
              <w:rPr>
                <w:rFonts w:cs="Calibri"/>
                <w:color w:val="000000"/>
                <w:sz w:val="16"/>
                <w:szCs w:val="16"/>
              </w:rPr>
            </w:pPr>
            <w:r w:rsidRPr="006343CE">
              <w:rPr>
                <w:rFonts w:cs="Calibri"/>
                <w:color w:val="000000"/>
                <w:sz w:val="16"/>
                <w:szCs w:val="16"/>
              </w:rPr>
              <w:t xml:space="preserve">     5.720,00   </w:t>
            </w:r>
          </w:p>
        </w:tc>
      </w:tr>
      <w:tr w:rsidR="00801F4F" w:rsidRPr="006343CE" w14:paraId="72044D6B" w14:textId="77777777" w:rsidTr="00FA0EEC">
        <w:trPr>
          <w:trHeight w:val="300"/>
          <w:jc w:val="center"/>
        </w:trPr>
        <w:tc>
          <w:tcPr>
            <w:tcW w:w="8485" w:type="dxa"/>
            <w:gridSpan w:val="3"/>
            <w:shd w:val="clear" w:color="auto" w:fill="auto"/>
            <w:vAlign w:val="center"/>
            <w:hideMark/>
          </w:tcPr>
          <w:p w14:paraId="34920AE1" w14:textId="77777777" w:rsidR="00801F4F" w:rsidRPr="006343CE" w:rsidRDefault="00801F4F" w:rsidP="00FA0EEC">
            <w:pPr>
              <w:jc w:val="right"/>
              <w:rPr>
                <w:rFonts w:cs="Calibri"/>
                <w:b/>
                <w:bCs/>
                <w:color w:val="000000"/>
                <w:sz w:val="16"/>
                <w:szCs w:val="16"/>
              </w:rPr>
            </w:pPr>
            <w:r w:rsidRPr="006343CE">
              <w:rPr>
                <w:rFonts w:cs="Calibri"/>
                <w:b/>
                <w:bCs/>
                <w:color w:val="000000"/>
                <w:sz w:val="16"/>
                <w:szCs w:val="16"/>
              </w:rPr>
              <w:t>TOTALE GENERALE (SOMMA FORFETTARIA)</w:t>
            </w:r>
          </w:p>
        </w:tc>
        <w:tc>
          <w:tcPr>
            <w:tcW w:w="1273" w:type="dxa"/>
            <w:shd w:val="clear" w:color="auto" w:fill="auto"/>
            <w:vAlign w:val="center"/>
            <w:hideMark/>
          </w:tcPr>
          <w:p w14:paraId="61B82F88" w14:textId="77777777" w:rsidR="00801F4F" w:rsidRPr="006343CE" w:rsidRDefault="00801F4F" w:rsidP="00FA0EEC">
            <w:pPr>
              <w:keepNext/>
              <w:jc w:val="right"/>
              <w:rPr>
                <w:rFonts w:cs="Calibri"/>
                <w:b/>
                <w:bCs/>
                <w:color w:val="000000"/>
                <w:sz w:val="16"/>
                <w:szCs w:val="16"/>
              </w:rPr>
            </w:pPr>
            <w:r w:rsidRPr="006343CE">
              <w:rPr>
                <w:rFonts w:cs="Calibri"/>
                <w:b/>
                <w:bCs/>
                <w:color w:val="000000"/>
                <w:sz w:val="16"/>
                <w:szCs w:val="16"/>
              </w:rPr>
              <w:t xml:space="preserve">   34.320,00   </w:t>
            </w:r>
          </w:p>
        </w:tc>
      </w:tr>
    </w:tbl>
    <w:p w14:paraId="2A1AF9FC" w14:textId="77777777" w:rsidR="00801F4F" w:rsidRDefault="00801F4F" w:rsidP="00801F4F">
      <w:pPr>
        <w:pStyle w:val="Didascalia"/>
        <w:jc w:val="center"/>
      </w:pPr>
      <w:bookmarkStart w:id="31" w:name="_Toc149133916"/>
      <w:r>
        <w:t xml:space="preserve">Tabella </w:t>
      </w:r>
      <w:r w:rsidR="00C20E77">
        <w:rPr>
          <w:noProof/>
        </w:rPr>
        <w:fldChar w:fldCharType="begin"/>
      </w:r>
      <w:r w:rsidR="00C20E77">
        <w:rPr>
          <w:noProof/>
        </w:rPr>
        <w:instrText xml:space="preserve"> SEQ Tabella \* ARABIC </w:instrText>
      </w:r>
      <w:r w:rsidR="00C20E77">
        <w:rPr>
          <w:noProof/>
        </w:rPr>
        <w:fldChar w:fldCharType="separate"/>
      </w:r>
      <w:r w:rsidR="00010300">
        <w:rPr>
          <w:noProof/>
        </w:rPr>
        <w:t>1</w:t>
      </w:r>
      <w:r w:rsidR="00C20E77">
        <w:rPr>
          <w:noProof/>
        </w:rPr>
        <w:fldChar w:fldCharType="end"/>
      </w:r>
      <w:r>
        <w:t xml:space="preserve"> - Ipotesi n.1 di schema di bilancio</w:t>
      </w:r>
      <w:bookmarkEnd w:id="31"/>
    </w:p>
    <w:p w14:paraId="67F4F29D" w14:textId="77777777" w:rsidR="00801F4F" w:rsidRPr="0055655F" w:rsidRDefault="00801F4F" w:rsidP="00801F4F">
      <w:r w:rsidRPr="0055655F">
        <w:t xml:space="preserve">Come riportato </w:t>
      </w:r>
      <w:r>
        <w:t>in precedenza,</w:t>
      </w:r>
      <w:r w:rsidRPr="0055655F">
        <w:t xml:space="preserve"> ai valori definiti nella precedente tabella si potrebbero applicare diversi coefficienti volti a considerare:</w:t>
      </w:r>
    </w:p>
    <w:p w14:paraId="3B0C6879" w14:textId="77777777" w:rsidR="00801F4F" w:rsidRPr="0055655F" w:rsidRDefault="00801F4F">
      <w:pPr>
        <w:pStyle w:val="Paragrafoelenco"/>
        <w:numPr>
          <w:ilvl w:val="0"/>
          <w:numId w:val="29"/>
        </w:numPr>
        <w:spacing w:before="60" w:after="60" w:line="276" w:lineRule="auto"/>
      </w:pPr>
      <w:r w:rsidRPr="0055655F">
        <w:t>l’attinenza tematica dell’intervento alle priorità espresse dalle policy regionali (es. aerospazio, meccatronica, farmaceutica, etc.), per il quale si propone un bonus del + 3% calcolato sulla somma dei costi;</w:t>
      </w:r>
    </w:p>
    <w:p w14:paraId="6610B1F6" w14:textId="77777777" w:rsidR="00801F4F" w:rsidRPr="0055655F" w:rsidRDefault="00801F4F">
      <w:pPr>
        <w:pStyle w:val="Paragrafoelenco"/>
        <w:numPr>
          <w:ilvl w:val="0"/>
          <w:numId w:val="29"/>
        </w:numPr>
        <w:spacing w:before="60" w:after="60" w:line="276" w:lineRule="auto"/>
      </w:pPr>
      <w:r w:rsidRPr="0055655F">
        <w:t>i mercati target dell’intervento (consolidati, ad alto potenziale, di prossimità e in via di sviluppo), per il quale si propone, per i soli mercati ad alto potenziale, di considerare un bonus del + 3% calcolato sulla somma dei costi (al netto di altri aumenti);</w:t>
      </w:r>
    </w:p>
    <w:p w14:paraId="29881990" w14:textId="77777777" w:rsidR="00801F4F" w:rsidRPr="0055655F" w:rsidRDefault="00801F4F">
      <w:pPr>
        <w:pStyle w:val="Paragrafoelenco"/>
        <w:numPr>
          <w:ilvl w:val="0"/>
          <w:numId w:val="29"/>
        </w:numPr>
        <w:spacing w:before="60" w:after="60" w:line="276" w:lineRule="auto"/>
      </w:pPr>
      <w:r w:rsidRPr="0055655F">
        <w:t>l’adeguamento dei prezzi dati dal rischio cambio e/o rincari sui costi di produzione dei servizi a causa degli effetti della pandemia da COVID 19 sommando, al totale generale dei costi dell’investimento, un valore proposto del 10% del totale dei costi.</w:t>
      </w:r>
    </w:p>
    <w:p w14:paraId="65497211" w14:textId="77777777" w:rsidR="00801F4F" w:rsidRPr="0055655F" w:rsidRDefault="00801F4F" w:rsidP="00801F4F">
      <w:pPr>
        <w:spacing w:after="240"/>
      </w:pPr>
      <w:r w:rsidRPr="0055655F">
        <w:t>La quota di cofinanziamento del soggetto privato, con l’applicazione, al valore del totale generale parziale dei costi di una riduzione percentuale pari al 50%;</w:t>
      </w:r>
    </w:p>
    <w:tbl>
      <w:tblPr>
        <w:tblW w:w="9732" w:type="dxa"/>
        <w:jc w:val="center"/>
        <w:tblBorders>
          <w:top w:val="single" w:sz="8" w:space="0" w:color="75923C"/>
          <w:left w:val="single" w:sz="8" w:space="0" w:color="75923C"/>
          <w:bottom w:val="single" w:sz="8" w:space="0" w:color="75923C"/>
          <w:right w:val="single" w:sz="8" w:space="0" w:color="75923C"/>
          <w:insideH w:val="single" w:sz="8" w:space="0" w:color="525252" w:themeColor="accent3" w:themeShade="80"/>
          <w:insideV w:val="single" w:sz="8" w:space="0" w:color="525252" w:themeColor="accent3" w:themeShade="80"/>
        </w:tblBorders>
        <w:tblCellMar>
          <w:left w:w="70" w:type="dxa"/>
          <w:right w:w="70" w:type="dxa"/>
        </w:tblCellMar>
        <w:tblLook w:val="04A0" w:firstRow="1" w:lastRow="0" w:firstColumn="1" w:lastColumn="0" w:noHBand="0" w:noVBand="1"/>
      </w:tblPr>
      <w:tblGrid>
        <w:gridCol w:w="2212"/>
        <w:gridCol w:w="900"/>
        <w:gridCol w:w="3700"/>
        <w:gridCol w:w="1000"/>
        <w:gridCol w:w="960"/>
        <w:gridCol w:w="960"/>
      </w:tblGrid>
      <w:tr w:rsidR="00801F4F" w:rsidRPr="006343CE" w14:paraId="50FAF623" w14:textId="77777777" w:rsidTr="00FA0EEC">
        <w:trPr>
          <w:trHeight w:val="732"/>
          <w:jc w:val="center"/>
        </w:trPr>
        <w:tc>
          <w:tcPr>
            <w:tcW w:w="2212" w:type="dxa"/>
            <w:shd w:val="clear" w:color="auto" w:fill="2F5496" w:themeFill="accent1" w:themeFillShade="BF"/>
            <w:vAlign w:val="center"/>
            <w:hideMark/>
          </w:tcPr>
          <w:p w14:paraId="4DA9DE53" w14:textId="77777777" w:rsidR="00801F4F" w:rsidRPr="006343CE" w:rsidRDefault="00801F4F" w:rsidP="00FA0EEC">
            <w:pPr>
              <w:jc w:val="center"/>
              <w:rPr>
                <w:rFonts w:cs="Calibri"/>
                <w:b/>
                <w:bCs/>
                <w:color w:val="FFFFFF" w:themeColor="background1"/>
                <w:sz w:val="16"/>
                <w:szCs w:val="16"/>
              </w:rPr>
            </w:pPr>
            <w:r w:rsidRPr="006343CE">
              <w:rPr>
                <w:rFonts w:cs="Calibri"/>
                <w:b/>
                <w:bCs/>
                <w:color w:val="FFFFFF" w:themeColor="background1"/>
                <w:sz w:val="16"/>
                <w:szCs w:val="16"/>
              </w:rPr>
              <w:t> </w:t>
            </w:r>
          </w:p>
        </w:tc>
        <w:tc>
          <w:tcPr>
            <w:tcW w:w="900" w:type="dxa"/>
            <w:shd w:val="clear" w:color="auto" w:fill="2F5496" w:themeFill="accent1" w:themeFillShade="BF"/>
            <w:vAlign w:val="center"/>
            <w:hideMark/>
          </w:tcPr>
          <w:p w14:paraId="08C3026D" w14:textId="77777777" w:rsidR="00801F4F" w:rsidRPr="006343CE" w:rsidRDefault="00801F4F" w:rsidP="00FA0EEC">
            <w:pPr>
              <w:jc w:val="center"/>
              <w:rPr>
                <w:rFonts w:cs="Calibri"/>
                <w:b/>
                <w:bCs/>
                <w:color w:val="FFFFFF" w:themeColor="background1"/>
                <w:sz w:val="16"/>
                <w:szCs w:val="16"/>
              </w:rPr>
            </w:pPr>
            <w:r w:rsidRPr="006343CE">
              <w:rPr>
                <w:rFonts w:cs="Calibri"/>
                <w:b/>
                <w:bCs/>
                <w:color w:val="FFFFFF" w:themeColor="background1"/>
                <w:sz w:val="16"/>
                <w:szCs w:val="16"/>
              </w:rPr>
              <w:t>Lett.</w:t>
            </w:r>
          </w:p>
        </w:tc>
        <w:tc>
          <w:tcPr>
            <w:tcW w:w="3700" w:type="dxa"/>
            <w:shd w:val="clear" w:color="auto" w:fill="2F5496" w:themeFill="accent1" w:themeFillShade="BF"/>
            <w:vAlign w:val="center"/>
            <w:hideMark/>
          </w:tcPr>
          <w:p w14:paraId="3C40D522" w14:textId="77777777" w:rsidR="00801F4F" w:rsidRPr="006343CE" w:rsidRDefault="00801F4F" w:rsidP="00FA0EEC">
            <w:pPr>
              <w:jc w:val="center"/>
              <w:rPr>
                <w:rFonts w:cs="Calibri"/>
                <w:b/>
                <w:bCs/>
                <w:color w:val="FFFFFF" w:themeColor="background1"/>
                <w:sz w:val="16"/>
                <w:szCs w:val="16"/>
              </w:rPr>
            </w:pPr>
            <w:r w:rsidRPr="006343CE">
              <w:rPr>
                <w:rFonts w:cs="Calibri"/>
                <w:b/>
                <w:bCs/>
                <w:color w:val="FFFFFF" w:themeColor="background1"/>
                <w:sz w:val="16"/>
                <w:szCs w:val="16"/>
              </w:rPr>
              <w:t>Tipologia voce di spesa</w:t>
            </w:r>
          </w:p>
        </w:tc>
        <w:tc>
          <w:tcPr>
            <w:tcW w:w="1000" w:type="dxa"/>
            <w:shd w:val="clear" w:color="auto" w:fill="2F5496" w:themeFill="accent1" w:themeFillShade="BF"/>
            <w:vAlign w:val="center"/>
            <w:hideMark/>
          </w:tcPr>
          <w:p w14:paraId="1E3D4269" w14:textId="77777777" w:rsidR="00801F4F" w:rsidRPr="006343CE" w:rsidRDefault="00801F4F" w:rsidP="00FA0EEC">
            <w:pPr>
              <w:jc w:val="center"/>
              <w:rPr>
                <w:rFonts w:cs="Calibri"/>
                <w:b/>
                <w:bCs/>
                <w:color w:val="FFFFFF" w:themeColor="background1"/>
                <w:sz w:val="16"/>
                <w:szCs w:val="16"/>
              </w:rPr>
            </w:pPr>
            <w:r w:rsidRPr="006343CE">
              <w:rPr>
                <w:rFonts w:cs="Calibri"/>
                <w:b/>
                <w:bCs/>
                <w:color w:val="FFFFFF" w:themeColor="background1"/>
                <w:sz w:val="16"/>
                <w:szCs w:val="16"/>
              </w:rPr>
              <w:t>Importo forfettario proposto</w:t>
            </w:r>
          </w:p>
        </w:tc>
        <w:tc>
          <w:tcPr>
            <w:tcW w:w="960" w:type="dxa"/>
            <w:shd w:val="clear" w:color="auto" w:fill="2F5496" w:themeFill="accent1" w:themeFillShade="BF"/>
            <w:vAlign w:val="center"/>
            <w:hideMark/>
          </w:tcPr>
          <w:p w14:paraId="2F296D71" w14:textId="77777777" w:rsidR="00801F4F" w:rsidRPr="006343CE" w:rsidRDefault="00801F4F" w:rsidP="00FA0EEC">
            <w:pPr>
              <w:jc w:val="center"/>
              <w:rPr>
                <w:rFonts w:cs="Calibri"/>
                <w:b/>
                <w:bCs/>
                <w:color w:val="FFFFFF" w:themeColor="background1"/>
                <w:sz w:val="16"/>
                <w:szCs w:val="16"/>
              </w:rPr>
            </w:pPr>
            <w:r w:rsidRPr="006343CE">
              <w:rPr>
                <w:rFonts w:cs="Calibri"/>
                <w:b/>
                <w:bCs/>
                <w:color w:val="FFFFFF" w:themeColor="background1"/>
                <w:sz w:val="16"/>
                <w:szCs w:val="16"/>
              </w:rPr>
              <w:t>Importo forfettario proposto</w:t>
            </w:r>
          </w:p>
        </w:tc>
        <w:tc>
          <w:tcPr>
            <w:tcW w:w="960" w:type="dxa"/>
            <w:shd w:val="clear" w:color="auto" w:fill="2F5496" w:themeFill="accent1" w:themeFillShade="BF"/>
            <w:vAlign w:val="center"/>
            <w:hideMark/>
          </w:tcPr>
          <w:p w14:paraId="635863D6" w14:textId="77777777" w:rsidR="00801F4F" w:rsidRPr="006343CE" w:rsidRDefault="00801F4F" w:rsidP="00FA0EEC">
            <w:pPr>
              <w:jc w:val="center"/>
              <w:rPr>
                <w:rFonts w:cs="Calibri"/>
                <w:b/>
                <w:bCs/>
                <w:color w:val="FFFFFF" w:themeColor="background1"/>
                <w:sz w:val="16"/>
                <w:szCs w:val="16"/>
              </w:rPr>
            </w:pPr>
            <w:r w:rsidRPr="006343CE">
              <w:rPr>
                <w:rFonts w:cs="Calibri"/>
                <w:b/>
                <w:bCs/>
                <w:color w:val="FFFFFF" w:themeColor="background1"/>
                <w:sz w:val="16"/>
                <w:szCs w:val="16"/>
              </w:rPr>
              <w:t>Importo forfettario proposto</w:t>
            </w:r>
          </w:p>
        </w:tc>
      </w:tr>
      <w:tr w:rsidR="00801F4F" w:rsidRPr="006343CE" w14:paraId="18EC0B90" w14:textId="77777777" w:rsidTr="00FA0EEC">
        <w:trPr>
          <w:trHeight w:val="732"/>
          <w:jc w:val="center"/>
        </w:trPr>
        <w:tc>
          <w:tcPr>
            <w:tcW w:w="2212" w:type="dxa"/>
            <w:vMerge w:val="restart"/>
            <w:shd w:val="clear" w:color="auto" w:fill="auto"/>
            <w:vAlign w:val="center"/>
            <w:hideMark/>
          </w:tcPr>
          <w:p w14:paraId="46C17E0C" w14:textId="77777777" w:rsidR="00801F4F" w:rsidRPr="006343CE" w:rsidRDefault="00801F4F" w:rsidP="00FA0EEC">
            <w:pPr>
              <w:jc w:val="center"/>
              <w:rPr>
                <w:rFonts w:cs="Calibri"/>
                <w:b/>
                <w:bCs/>
                <w:color w:val="000000"/>
                <w:sz w:val="16"/>
                <w:szCs w:val="16"/>
              </w:rPr>
            </w:pPr>
            <w:r w:rsidRPr="006343CE">
              <w:rPr>
                <w:rFonts w:cs="Calibri"/>
                <w:b/>
                <w:bCs/>
                <w:color w:val="000000"/>
                <w:sz w:val="16"/>
                <w:szCs w:val="16"/>
              </w:rPr>
              <w:t>Costi diretti</w:t>
            </w:r>
          </w:p>
        </w:tc>
        <w:tc>
          <w:tcPr>
            <w:tcW w:w="900" w:type="dxa"/>
            <w:shd w:val="clear" w:color="auto" w:fill="auto"/>
            <w:vAlign w:val="center"/>
            <w:hideMark/>
          </w:tcPr>
          <w:p w14:paraId="080D6A54" w14:textId="77777777" w:rsidR="00801F4F" w:rsidRPr="006343CE" w:rsidRDefault="00801F4F" w:rsidP="00FA0EEC">
            <w:pPr>
              <w:jc w:val="center"/>
              <w:rPr>
                <w:rFonts w:cs="Calibri"/>
                <w:color w:val="000000"/>
                <w:sz w:val="16"/>
                <w:szCs w:val="16"/>
              </w:rPr>
            </w:pPr>
            <w:r w:rsidRPr="006343CE">
              <w:rPr>
                <w:rFonts w:cs="Calibri"/>
                <w:color w:val="000000"/>
                <w:sz w:val="16"/>
                <w:szCs w:val="16"/>
              </w:rPr>
              <w:t>A</w:t>
            </w:r>
          </w:p>
        </w:tc>
        <w:tc>
          <w:tcPr>
            <w:tcW w:w="3700" w:type="dxa"/>
            <w:shd w:val="clear" w:color="auto" w:fill="auto"/>
            <w:vAlign w:val="center"/>
            <w:hideMark/>
          </w:tcPr>
          <w:p w14:paraId="05B4D570" w14:textId="77777777" w:rsidR="00801F4F" w:rsidRPr="006343CE" w:rsidRDefault="00801F4F" w:rsidP="00FA0EEC">
            <w:pPr>
              <w:rPr>
                <w:rFonts w:cs="Calibri"/>
                <w:color w:val="000000"/>
                <w:sz w:val="16"/>
                <w:szCs w:val="16"/>
              </w:rPr>
            </w:pPr>
            <w:r w:rsidRPr="006343CE">
              <w:rPr>
                <w:rFonts w:cs="Calibri"/>
                <w:color w:val="000000"/>
                <w:sz w:val="16"/>
                <w:szCs w:val="16"/>
              </w:rPr>
              <w:t>Spese per l'affitto di spazi espositivi (ivi compresi eventuali oneri di iscrizione, diritti fissi, etc.)</w:t>
            </w:r>
          </w:p>
        </w:tc>
        <w:tc>
          <w:tcPr>
            <w:tcW w:w="1000" w:type="dxa"/>
            <w:shd w:val="clear" w:color="auto" w:fill="auto"/>
            <w:vAlign w:val="center"/>
            <w:hideMark/>
          </w:tcPr>
          <w:p w14:paraId="056CD0A7" w14:textId="77777777" w:rsidR="00801F4F" w:rsidRPr="006343CE" w:rsidRDefault="00801F4F" w:rsidP="00FA0EEC">
            <w:pPr>
              <w:jc w:val="right"/>
              <w:rPr>
                <w:rFonts w:cs="Calibri"/>
                <w:color w:val="000000"/>
                <w:sz w:val="16"/>
                <w:szCs w:val="16"/>
              </w:rPr>
            </w:pPr>
            <w:r w:rsidRPr="006343CE">
              <w:rPr>
                <w:rFonts w:cs="Calibri"/>
                <w:color w:val="000000"/>
                <w:sz w:val="16"/>
                <w:szCs w:val="16"/>
              </w:rPr>
              <w:t>11.000,00</w:t>
            </w:r>
          </w:p>
        </w:tc>
        <w:tc>
          <w:tcPr>
            <w:tcW w:w="960" w:type="dxa"/>
            <w:shd w:val="clear" w:color="auto" w:fill="auto"/>
            <w:vAlign w:val="center"/>
            <w:hideMark/>
          </w:tcPr>
          <w:p w14:paraId="3A8D5B87" w14:textId="77777777" w:rsidR="00801F4F" w:rsidRPr="006343CE" w:rsidRDefault="00801F4F" w:rsidP="00FA0EEC">
            <w:pPr>
              <w:jc w:val="right"/>
              <w:rPr>
                <w:rFonts w:cs="Calibri"/>
                <w:color w:val="000000"/>
                <w:sz w:val="16"/>
                <w:szCs w:val="16"/>
              </w:rPr>
            </w:pPr>
            <w:r w:rsidRPr="006343CE">
              <w:rPr>
                <w:rFonts w:cs="Calibri"/>
                <w:color w:val="000000"/>
                <w:sz w:val="16"/>
                <w:szCs w:val="16"/>
              </w:rPr>
              <w:t>11.000,00</w:t>
            </w:r>
          </w:p>
        </w:tc>
        <w:tc>
          <w:tcPr>
            <w:tcW w:w="960" w:type="dxa"/>
            <w:shd w:val="clear" w:color="auto" w:fill="auto"/>
            <w:vAlign w:val="center"/>
            <w:hideMark/>
          </w:tcPr>
          <w:p w14:paraId="5BFD211C" w14:textId="77777777" w:rsidR="00801F4F" w:rsidRPr="006343CE" w:rsidRDefault="00801F4F" w:rsidP="00FA0EEC">
            <w:pPr>
              <w:jc w:val="right"/>
              <w:rPr>
                <w:rFonts w:cs="Calibri"/>
                <w:color w:val="000000"/>
                <w:sz w:val="16"/>
                <w:szCs w:val="16"/>
              </w:rPr>
            </w:pPr>
            <w:r w:rsidRPr="006343CE">
              <w:rPr>
                <w:rFonts w:cs="Calibri"/>
                <w:color w:val="000000"/>
                <w:sz w:val="16"/>
                <w:szCs w:val="16"/>
              </w:rPr>
              <w:t>11.000,00</w:t>
            </w:r>
          </w:p>
        </w:tc>
      </w:tr>
      <w:tr w:rsidR="00801F4F" w:rsidRPr="006343CE" w14:paraId="30A9CF0A" w14:textId="77777777" w:rsidTr="00FA0EEC">
        <w:trPr>
          <w:trHeight w:val="732"/>
          <w:jc w:val="center"/>
        </w:trPr>
        <w:tc>
          <w:tcPr>
            <w:tcW w:w="2212" w:type="dxa"/>
            <w:vMerge/>
            <w:vAlign w:val="center"/>
            <w:hideMark/>
          </w:tcPr>
          <w:p w14:paraId="3284455E" w14:textId="77777777" w:rsidR="00801F4F" w:rsidRPr="006343CE" w:rsidRDefault="00801F4F" w:rsidP="00FA0EEC">
            <w:pPr>
              <w:rPr>
                <w:rFonts w:cs="Calibri"/>
                <w:b/>
                <w:bCs/>
                <w:color w:val="000000"/>
                <w:sz w:val="16"/>
                <w:szCs w:val="16"/>
              </w:rPr>
            </w:pPr>
          </w:p>
        </w:tc>
        <w:tc>
          <w:tcPr>
            <w:tcW w:w="900" w:type="dxa"/>
            <w:shd w:val="clear" w:color="auto" w:fill="auto"/>
            <w:vAlign w:val="center"/>
            <w:hideMark/>
          </w:tcPr>
          <w:p w14:paraId="1765E784" w14:textId="77777777" w:rsidR="00801F4F" w:rsidRPr="006343CE" w:rsidRDefault="00801F4F" w:rsidP="00FA0EEC">
            <w:pPr>
              <w:jc w:val="center"/>
              <w:rPr>
                <w:rFonts w:cs="Calibri"/>
                <w:color w:val="000000"/>
                <w:sz w:val="16"/>
                <w:szCs w:val="16"/>
              </w:rPr>
            </w:pPr>
            <w:r w:rsidRPr="006343CE">
              <w:rPr>
                <w:rFonts w:cs="Calibri"/>
                <w:color w:val="000000"/>
                <w:sz w:val="16"/>
                <w:szCs w:val="16"/>
              </w:rPr>
              <w:t>B</w:t>
            </w:r>
          </w:p>
        </w:tc>
        <w:tc>
          <w:tcPr>
            <w:tcW w:w="3700" w:type="dxa"/>
            <w:shd w:val="clear" w:color="auto" w:fill="auto"/>
            <w:vAlign w:val="center"/>
            <w:hideMark/>
          </w:tcPr>
          <w:p w14:paraId="3B6F678E" w14:textId="77777777" w:rsidR="00801F4F" w:rsidRPr="006343CE" w:rsidRDefault="00801F4F" w:rsidP="00FA0EEC">
            <w:pPr>
              <w:rPr>
                <w:rFonts w:cs="Calibri"/>
                <w:color w:val="000000"/>
                <w:sz w:val="16"/>
                <w:szCs w:val="16"/>
              </w:rPr>
            </w:pPr>
            <w:r w:rsidRPr="006343CE">
              <w:rPr>
                <w:rFonts w:cs="Calibri"/>
                <w:color w:val="000000"/>
                <w:sz w:val="16"/>
                <w:szCs w:val="16"/>
              </w:rPr>
              <w:t>Spese per l'allestimento e manutenzione degli spazi espositivi (ivi compresi costi di pulizia, facchinaggio, allacciamento utenze, etc,)</w:t>
            </w:r>
          </w:p>
        </w:tc>
        <w:tc>
          <w:tcPr>
            <w:tcW w:w="1000" w:type="dxa"/>
            <w:shd w:val="clear" w:color="auto" w:fill="auto"/>
            <w:vAlign w:val="center"/>
            <w:hideMark/>
          </w:tcPr>
          <w:p w14:paraId="3BE479B2" w14:textId="77777777" w:rsidR="00801F4F" w:rsidRPr="006343CE" w:rsidRDefault="00801F4F" w:rsidP="00FA0EEC">
            <w:pPr>
              <w:jc w:val="right"/>
              <w:rPr>
                <w:rFonts w:cs="Calibri"/>
                <w:color w:val="000000"/>
                <w:sz w:val="16"/>
                <w:szCs w:val="16"/>
              </w:rPr>
            </w:pPr>
            <w:r w:rsidRPr="006343CE">
              <w:rPr>
                <w:rFonts w:cs="Calibri"/>
                <w:color w:val="000000"/>
                <w:sz w:val="16"/>
                <w:szCs w:val="16"/>
              </w:rPr>
              <w:t>10.000,00</w:t>
            </w:r>
          </w:p>
        </w:tc>
        <w:tc>
          <w:tcPr>
            <w:tcW w:w="960" w:type="dxa"/>
            <w:shd w:val="clear" w:color="auto" w:fill="auto"/>
            <w:vAlign w:val="center"/>
            <w:hideMark/>
          </w:tcPr>
          <w:p w14:paraId="471D639A" w14:textId="77777777" w:rsidR="00801F4F" w:rsidRPr="006343CE" w:rsidRDefault="00801F4F" w:rsidP="00FA0EEC">
            <w:pPr>
              <w:jc w:val="right"/>
              <w:rPr>
                <w:rFonts w:cs="Calibri"/>
                <w:color w:val="000000"/>
                <w:sz w:val="16"/>
                <w:szCs w:val="16"/>
              </w:rPr>
            </w:pPr>
            <w:r w:rsidRPr="006343CE">
              <w:rPr>
                <w:rFonts w:cs="Calibri"/>
                <w:color w:val="000000"/>
                <w:sz w:val="16"/>
                <w:szCs w:val="16"/>
              </w:rPr>
              <w:t>10.000,00</w:t>
            </w:r>
          </w:p>
        </w:tc>
        <w:tc>
          <w:tcPr>
            <w:tcW w:w="960" w:type="dxa"/>
            <w:shd w:val="clear" w:color="auto" w:fill="auto"/>
            <w:vAlign w:val="center"/>
            <w:hideMark/>
          </w:tcPr>
          <w:p w14:paraId="4D82DECA" w14:textId="77777777" w:rsidR="00801F4F" w:rsidRPr="006343CE" w:rsidRDefault="00801F4F" w:rsidP="00FA0EEC">
            <w:pPr>
              <w:jc w:val="right"/>
              <w:rPr>
                <w:rFonts w:cs="Calibri"/>
                <w:color w:val="000000"/>
                <w:sz w:val="16"/>
                <w:szCs w:val="16"/>
              </w:rPr>
            </w:pPr>
            <w:r w:rsidRPr="006343CE">
              <w:rPr>
                <w:rFonts w:cs="Calibri"/>
                <w:color w:val="000000"/>
                <w:sz w:val="16"/>
                <w:szCs w:val="16"/>
              </w:rPr>
              <w:t>10.000,00</w:t>
            </w:r>
          </w:p>
        </w:tc>
      </w:tr>
      <w:tr w:rsidR="00801F4F" w:rsidRPr="006343CE" w14:paraId="623F6F02" w14:textId="77777777" w:rsidTr="00FA0EEC">
        <w:trPr>
          <w:trHeight w:val="492"/>
          <w:jc w:val="center"/>
        </w:trPr>
        <w:tc>
          <w:tcPr>
            <w:tcW w:w="2212" w:type="dxa"/>
            <w:vMerge/>
            <w:vAlign w:val="center"/>
            <w:hideMark/>
          </w:tcPr>
          <w:p w14:paraId="7D787C6F" w14:textId="77777777" w:rsidR="00801F4F" w:rsidRPr="006343CE" w:rsidRDefault="00801F4F" w:rsidP="00FA0EEC">
            <w:pPr>
              <w:rPr>
                <w:rFonts w:cs="Calibri"/>
                <w:b/>
                <w:bCs/>
                <w:color w:val="000000"/>
                <w:sz w:val="16"/>
                <w:szCs w:val="16"/>
              </w:rPr>
            </w:pPr>
          </w:p>
        </w:tc>
        <w:tc>
          <w:tcPr>
            <w:tcW w:w="900" w:type="dxa"/>
            <w:shd w:val="clear" w:color="auto" w:fill="auto"/>
            <w:vAlign w:val="center"/>
            <w:hideMark/>
          </w:tcPr>
          <w:p w14:paraId="124AAB4F" w14:textId="77777777" w:rsidR="00801F4F" w:rsidRPr="006343CE" w:rsidRDefault="00801F4F" w:rsidP="00FA0EEC">
            <w:pPr>
              <w:jc w:val="center"/>
              <w:rPr>
                <w:rFonts w:cs="Calibri"/>
                <w:color w:val="000000"/>
                <w:sz w:val="16"/>
                <w:szCs w:val="16"/>
              </w:rPr>
            </w:pPr>
            <w:r w:rsidRPr="006343CE">
              <w:rPr>
                <w:rFonts w:cs="Calibri"/>
                <w:color w:val="000000"/>
                <w:sz w:val="16"/>
                <w:szCs w:val="16"/>
              </w:rPr>
              <w:t>C</w:t>
            </w:r>
          </w:p>
        </w:tc>
        <w:tc>
          <w:tcPr>
            <w:tcW w:w="3700" w:type="dxa"/>
            <w:shd w:val="clear" w:color="auto" w:fill="auto"/>
            <w:vAlign w:val="center"/>
            <w:hideMark/>
          </w:tcPr>
          <w:p w14:paraId="559AA846" w14:textId="77777777" w:rsidR="00801F4F" w:rsidRPr="006343CE" w:rsidRDefault="00801F4F" w:rsidP="00FA0EEC">
            <w:pPr>
              <w:rPr>
                <w:rFonts w:cs="Calibri"/>
                <w:color w:val="000000"/>
                <w:sz w:val="16"/>
                <w:szCs w:val="16"/>
              </w:rPr>
            </w:pPr>
            <w:r w:rsidRPr="006343CE">
              <w:rPr>
                <w:rFonts w:cs="Calibri"/>
                <w:color w:val="000000"/>
                <w:sz w:val="16"/>
                <w:szCs w:val="16"/>
              </w:rPr>
              <w:t>Spese di inserimento nel catalogo della manifestazione fieristica</w:t>
            </w:r>
          </w:p>
        </w:tc>
        <w:tc>
          <w:tcPr>
            <w:tcW w:w="1000" w:type="dxa"/>
            <w:shd w:val="clear" w:color="auto" w:fill="auto"/>
            <w:vAlign w:val="center"/>
            <w:hideMark/>
          </w:tcPr>
          <w:p w14:paraId="29367693" w14:textId="77777777" w:rsidR="00801F4F" w:rsidRPr="006343CE" w:rsidRDefault="00801F4F" w:rsidP="00FA0EEC">
            <w:pPr>
              <w:jc w:val="center"/>
              <w:rPr>
                <w:rFonts w:cs="Calibri"/>
                <w:color w:val="000000"/>
                <w:sz w:val="16"/>
                <w:szCs w:val="16"/>
              </w:rPr>
            </w:pPr>
            <w:r w:rsidRPr="006343CE">
              <w:rPr>
                <w:rFonts w:cs="Calibri"/>
                <w:color w:val="000000"/>
                <w:sz w:val="16"/>
                <w:szCs w:val="16"/>
              </w:rPr>
              <w:t xml:space="preserve">        200,00   </w:t>
            </w:r>
          </w:p>
        </w:tc>
        <w:tc>
          <w:tcPr>
            <w:tcW w:w="960" w:type="dxa"/>
            <w:shd w:val="clear" w:color="auto" w:fill="auto"/>
            <w:vAlign w:val="center"/>
            <w:hideMark/>
          </w:tcPr>
          <w:p w14:paraId="296FA385" w14:textId="77777777" w:rsidR="00801F4F" w:rsidRPr="006343CE" w:rsidRDefault="00801F4F" w:rsidP="00FA0EEC">
            <w:pPr>
              <w:jc w:val="right"/>
              <w:rPr>
                <w:rFonts w:cs="Calibri"/>
                <w:color w:val="000000"/>
                <w:sz w:val="16"/>
                <w:szCs w:val="16"/>
              </w:rPr>
            </w:pPr>
            <w:r w:rsidRPr="006343CE">
              <w:rPr>
                <w:rFonts w:cs="Calibri"/>
                <w:color w:val="000000"/>
                <w:sz w:val="16"/>
                <w:szCs w:val="16"/>
              </w:rPr>
              <w:t xml:space="preserve">       200,00   </w:t>
            </w:r>
          </w:p>
        </w:tc>
        <w:tc>
          <w:tcPr>
            <w:tcW w:w="960" w:type="dxa"/>
            <w:shd w:val="clear" w:color="auto" w:fill="auto"/>
            <w:vAlign w:val="center"/>
            <w:hideMark/>
          </w:tcPr>
          <w:p w14:paraId="3AE0EF0C" w14:textId="77777777" w:rsidR="00801F4F" w:rsidRPr="006343CE" w:rsidRDefault="00801F4F" w:rsidP="00FA0EEC">
            <w:pPr>
              <w:jc w:val="right"/>
              <w:rPr>
                <w:rFonts w:cs="Calibri"/>
                <w:color w:val="000000"/>
                <w:sz w:val="16"/>
                <w:szCs w:val="16"/>
              </w:rPr>
            </w:pPr>
            <w:r w:rsidRPr="006343CE">
              <w:rPr>
                <w:rFonts w:cs="Calibri"/>
                <w:color w:val="000000"/>
                <w:sz w:val="16"/>
                <w:szCs w:val="16"/>
              </w:rPr>
              <w:t xml:space="preserve">       200,00   </w:t>
            </w:r>
          </w:p>
        </w:tc>
      </w:tr>
      <w:tr w:rsidR="00801F4F" w:rsidRPr="006343CE" w14:paraId="63B7FE0C" w14:textId="77777777" w:rsidTr="00FA0EEC">
        <w:trPr>
          <w:trHeight w:val="300"/>
          <w:jc w:val="center"/>
        </w:trPr>
        <w:tc>
          <w:tcPr>
            <w:tcW w:w="2212" w:type="dxa"/>
            <w:vMerge/>
            <w:vAlign w:val="center"/>
            <w:hideMark/>
          </w:tcPr>
          <w:p w14:paraId="36927CCA" w14:textId="77777777" w:rsidR="00801F4F" w:rsidRPr="006343CE" w:rsidRDefault="00801F4F" w:rsidP="00FA0EEC">
            <w:pPr>
              <w:rPr>
                <w:rFonts w:cs="Calibri"/>
                <w:b/>
                <w:bCs/>
                <w:color w:val="000000"/>
                <w:sz w:val="16"/>
                <w:szCs w:val="16"/>
              </w:rPr>
            </w:pPr>
          </w:p>
        </w:tc>
        <w:tc>
          <w:tcPr>
            <w:tcW w:w="900" w:type="dxa"/>
            <w:shd w:val="clear" w:color="auto" w:fill="auto"/>
            <w:vAlign w:val="center"/>
            <w:hideMark/>
          </w:tcPr>
          <w:p w14:paraId="2CCA1BCA" w14:textId="77777777" w:rsidR="00801F4F" w:rsidRPr="006343CE" w:rsidRDefault="00801F4F" w:rsidP="00FA0EEC">
            <w:pPr>
              <w:jc w:val="center"/>
              <w:rPr>
                <w:rFonts w:cs="Calibri"/>
                <w:color w:val="000000"/>
                <w:sz w:val="16"/>
                <w:szCs w:val="16"/>
              </w:rPr>
            </w:pPr>
            <w:r w:rsidRPr="006343CE">
              <w:rPr>
                <w:rFonts w:cs="Calibri"/>
                <w:color w:val="000000"/>
                <w:sz w:val="16"/>
                <w:szCs w:val="16"/>
              </w:rPr>
              <w:t>D</w:t>
            </w:r>
          </w:p>
        </w:tc>
        <w:tc>
          <w:tcPr>
            <w:tcW w:w="3700" w:type="dxa"/>
            <w:shd w:val="clear" w:color="auto" w:fill="auto"/>
            <w:vAlign w:val="center"/>
            <w:hideMark/>
          </w:tcPr>
          <w:p w14:paraId="6098D605" w14:textId="77777777" w:rsidR="00801F4F" w:rsidRPr="006343CE" w:rsidRDefault="00801F4F" w:rsidP="00FA0EEC">
            <w:pPr>
              <w:rPr>
                <w:rFonts w:cs="Calibri"/>
                <w:color w:val="000000"/>
                <w:sz w:val="16"/>
                <w:szCs w:val="16"/>
              </w:rPr>
            </w:pPr>
            <w:r w:rsidRPr="006343CE">
              <w:rPr>
                <w:rFonts w:cs="Calibri"/>
                <w:color w:val="000000"/>
                <w:sz w:val="16"/>
                <w:szCs w:val="16"/>
              </w:rPr>
              <w:t>Spese di hostessing e interpretariato</w:t>
            </w:r>
          </w:p>
        </w:tc>
        <w:tc>
          <w:tcPr>
            <w:tcW w:w="1000" w:type="dxa"/>
            <w:shd w:val="clear" w:color="auto" w:fill="auto"/>
            <w:vAlign w:val="center"/>
            <w:hideMark/>
          </w:tcPr>
          <w:p w14:paraId="62575C26" w14:textId="77777777" w:rsidR="00801F4F" w:rsidRPr="006343CE" w:rsidRDefault="00801F4F" w:rsidP="00FA0EEC">
            <w:pPr>
              <w:jc w:val="right"/>
              <w:rPr>
                <w:rFonts w:cs="Calibri"/>
                <w:color w:val="000000"/>
                <w:sz w:val="16"/>
                <w:szCs w:val="16"/>
              </w:rPr>
            </w:pPr>
            <w:r w:rsidRPr="006343CE">
              <w:rPr>
                <w:rFonts w:cs="Calibri"/>
                <w:color w:val="000000"/>
                <w:sz w:val="16"/>
                <w:szCs w:val="16"/>
              </w:rPr>
              <w:t>2.000,00</w:t>
            </w:r>
          </w:p>
        </w:tc>
        <w:tc>
          <w:tcPr>
            <w:tcW w:w="960" w:type="dxa"/>
            <w:shd w:val="clear" w:color="auto" w:fill="auto"/>
            <w:vAlign w:val="center"/>
            <w:hideMark/>
          </w:tcPr>
          <w:p w14:paraId="4C7711F1" w14:textId="77777777" w:rsidR="00801F4F" w:rsidRPr="006343CE" w:rsidRDefault="00801F4F" w:rsidP="00FA0EEC">
            <w:pPr>
              <w:jc w:val="right"/>
              <w:rPr>
                <w:rFonts w:cs="Calibri"/>
                <w:color w:val="000000"/>
                <w:sz w:val="16"/>
                <w:szCs w:val="16"/>
              </w:rPr>
            </w:pPr>
            <w:r w:rsidRPr="006343CE">
              <w:rPr>
                <w:rFonts w:cs="Calibri"/>
                <w:color w:val="000000"/>
                <w:sz w:val="16"/>
                <w:szCs w:val="16"/>
              </w:rPr>
              <w:t>2.000,00</w:t>
            </w:r>
          </w:p>
        </w:tc>
        <w:tc>
          <w:tcPr>
            <w:tcW w:w="960" w:type="dxa"/>
            <w:shd w:val="clear" w:color="auto" w:fill="auto"/>
            <w:vAlign w:val="center"/>
            <w:hideMark/>
          </w:tcPr>
          <w:p w14:paraId="0EF83939" w14:textId="77777777" w:rsidR="00801F4F" w:rsidRPr="006343CE" w:rsidRDefault="00801F4F" w:rsidP="00FA0EEC">
            <w:pPr>
              <w:jc w:val="right"/>
              <w:rPr>
                <w:rFonts w:cs="Calibri"/>
                <w:color w:val="000000"/>
                <w:sz w:val="16"/>
                <w:szCs w:val="16"/>
              </w:rPr>
            </w:pPr>
            <w:r w:rsidRPr="006343CE">
              <w:rPr>
                <w:rFonts w:cs="Calibri"/>
                <w:color w:val="000000"/>
                <w:sz w:val="16"/>
                <w:szCs w:val="16"/>
              </w:rPr>
              <w:t>2.000,00</w:t>
            </w:r>
          </w:p>
        </w:tc>
      </w:tr>
      <w:tr w:rsidR="00801F4F" w:rsidRPr="006343CE" w14:paraId="702CCF42" w14:textId="77777777" w:rsidTr="00FA0EEC">
        <w:trPr>
          <w:trHeight w:val="732"/>
          <w:jc w:val="center"/>
        </w:trPr>
        <w:tc>
          <w:tcPr>
            <w:tcW w:w="2212" w:type="dxa"/>
            <w:vMerge/>
            <w:vAlign w:val="center"/>
            <w:hideMark/>
          </w:tcPr>
          <w:p w14:paraId="2499F0FF" w14:textId="77777777" w:rsidR="00801F4F" w:rsidRPr="006343CE" w:rsidRDefault="00801F4F" w:rsidP="00FA0EEC">
            <w:pPr>
              <w:rPr>
                <w:rFonts w:cs="Calibri"/>
                <w:b/>
                <w:bCs/>
                <w:color w:val="000000"/>
                <w:sz w:val="16"/>
                <w:szCs w:val="16"/>
              </w:rPr>
            </w:pPr>
          </w:p>
        </w:tc>
        <w:tc>
          <w:tcPr>
            <w:tcW w:w="900" w:type="dxa"/>
            <w:shd w:val="clear" w:color="auto" w:fill="auto"/>
            <w:vAlign w:val="center"/>
            <w:hideMark/>
          </w:tcPr>
          <w:p w14:paraId="40BF29EC" w14:textId="77777777" w:rsidR="00801F4F" w:rsidRPr="006343CE" w:rsidRDefault="00801F4F" w:rsidP="00FA0EEC">
            <w:pPr>
              <w:jc w:val="center"/>
              <w:rPr>
                <w:rFonts w:cs="Calibri"/>
                <w:color w:val="000000"/>
                <w:sz w:val="16"/>
                <w:szCs w:val="16"/>
              </w:rPr>
            </w:pPr>
            <w:r w:rsidRPr="006343CE">
              <w:rPr>
                <w:rFonts w:cs="Calibri"/>
                <w:color w:val="000000"/>
                <w:sz w:val="16"/>
                <w:szCs w:val="16"/>
              </w:rPr>
              <w:t>E</w:t>
            </w:r>
          </w:p>
        </w:tc>
        <w:tc>
          <w:tcPr>
            <w:tcW w:w="3700" w:type="dxa"/>
            <w:shd w:val="clear" w:color="auto" w:fill="auto"/>
            <w:vAlign w:val="center"/>
            <w:hideMark/>
          </w:tcPr>
          <w:p w14:paraId="00B820EC" w14:textId="77777777" w:rsidR="00801F4F" w:rsidRPr="006343CE" w:rsidRDefault="00801F4F" w:rsidP="00FA0EEC">
            <w:pPr>
              <w:rPr>
                <w:rFonts w:cs="Calibri"/>
                <w:color w:val="000000"/>
                <w:sz w:val="16"/>
                <w:szCs w:val="16"/>
              </w:rPr>
            </w:pPr>
            <w:r w:rsidRPr="006343CE">
              <w:rPr>
                <w:rFonts w:cs="Calibri"/>
                <w:color w:val="000000"/>
                <w:sz w:val="16"/>
                <w:szCs w:val="16"/>
              </w:rPr>
              <w:t>Spese di spedizione dei materiali promozionali, informativi e campionari da esporre nell'ambito della manifestazione)</w:t>
            </w:r>
          </w:p>
        </w:tc>
        <w:tc>
          <w:tcPr>
            <w:tcW w:w="1000" w:type="dxa"/>
            <w:shd w:val="clear" w:color="auto" w:fill="auto"/>
            <w:vAlign w:val="center"/>
            <w:hideMark/>
          </w:tcPr>
          <w:p w14:paraId="32D3BD93" w14:textId="77777777" w:rsidR="00801F4F" w:rsidRPr="006343CE" w:rsidRDefault="00801F4F" w:rsidP="00FA0EEC">
            <w:pPr>
              <w:jc w:val="right"/>
              <w:rPr>
                <w:rFonts w:cs="Calibri"/>
                <w:color w:val="000000"/>
                <w:sz w:val="16"/>
                <w:szCs w:val="16"/>
              </w:rPr>
            </w:pPr>
            <w:r w:rsidRPr="006343CE">
              <w:rPr>
                <w:rFonts w:cs="Calibri"/>
                <w:color w:val="000000"/>
                <w:sz w:val="16"/>
                <w:szCs w:val="16"/>
              </w:rPr>
              <w:t>3.400,00</w:t>
            </w:r>
          </w:p>
        </w:tc>
        <w:tc>
          <w:tcPr>
            <w:tcW w:w="960" w:type="dxa"/>
            <w:shd w:val="clear" w:color="auto" w:fill="auto"/>
            <w:vAlign w:val="center"/>
            <w:hideMark/>
          </w:tcPr>
          <w:p w14:paraId="001C80F5" w14:textId="77777777" w:rsidR="00801F4F" w:rsidRPr="006343CE" w:rsidRDefault="00801F4F" w:rsidP="00FA0EEC">
            <w:pPr>
              <w:jc w:val="right"/>
              <w:rPr>
                <w:rFonts w:cs="Calibri"/>
                <w:color w:val="000000"/>
                <w:sz w:val="16"/>
                <w:szCs w:val="16"/>
              </w:rPr>
            </w:pPr>
            <w:r w:rsidRPr="006343CE">
              <w:rPr>
                <w:rFonts w:cs="Calibri"/>
                <w:color w:val="000000"/>
                <w:sz w:val="16"/>
                <w:szCs w:val="16"/>
              </w:rPr>
              <w:t>3.400,00</w:t>
            </w:r>
          </w:p>
        </w:tc>
        <w:tc>
          <w:tcPr>
            <w:tcW w:w="960" w:type="dxa"/>
            <w:shd w:val="clear" w:color="auto" w:fill="auto"/>
            <w:vAlign w:val="center"/>
            <w:hideMark/>
          </w:tcPr>
          <w:p w14:paraId="608BD9BB" w14:textId="77777777" w:rsidR="00801F4F" w:rsidRPr="006343CE" w:rsidRDefault="00801F4F" w:rsidP="00FA0EEC">
            <w:pPr>
              <w:jc w:val="right"/>
              <w:rPr>
                <w:rFonts w:cs="Calibri"/>
                <w:color w:val="000000"/>
                <w:sz w:val="16"/>
                <w:szCs w:val="16"/>
              </w:rPr>
            </w:pPr>
            <w:r w:rsidRPr="006343CE">
              <w:rPr>
                <w:rFonts w:cs="Calibri"/>
                <w:color w:val="000000"/>
                <w:sz w:val="16"/>
                <w:szCs w:val="16"/>
              </w:rPr>
              <w:t>3.400,00</w:t>
            </w:r>
          </w:p>
        </w:tc>
      </w:tr>
      <w:tr w:rsidR="00801F4F" w:rsidRPr="006343CE" w14:paraId="2AC5E2E7" w14:textId="77777777" w:rsidTr="00FA0EEC">
        <w:trPr>
          <w:trHeight w:val="1212"/>
          <w:jc w:val="center"/>
        </w:trPr>
        <w:tc>
          <w:tcPr>
            <w:tcW w:w="2212" w:type="dxa"/>
            <w:vMerge/>
            <w:vAlign w:val="center"/>
            <w:hideMark/>
          </w:tcPr>
          <w:p w14:paraId="0218123D" w14:textId="77777777" w:rsidR="00801F4F" w:rsidRPr="006343CE" w:rsidRDefault="00801F4F" w:rsidP="00FA0EEC">
            <w:pPr>
              <w:rPr>
                <w:rFonts w:cs="Calibri"/>
                <w:b/>
                <w:bCs/>
                <w:color w:val="000000"/>
                <w:sz w:val="16"/>
                <w:szCs w:val="16"/>
              </w:rPr>
            </w:pPr>
          </w:p>
        </w:tc>
        <w:tc>
          <w:tcPr>
            <w:tcW w:w="900" w:type="dxa"/>
            <w:shd w:val="clear" w:color="auto" w:fill="auto"/>
            <w:vAlign w:val="center"/>
            <w:hideMark/>
          </w:tcPr>
          <w:p w14:paraId="708059FE" w14:textId="77777777" w:rsidR="00801F4F" w:rsidRPr="006343CE" w:rsidRDefault="00801F4F" w:rsidP="00FA0EEC">
            <w:pPr>
              <w:jc w:val="center"/>
              <w:rPr>
                <w:rFonts w:cs="Calibri"/>
                <w:color w:val="000000"/>
                <w:sz w:val="16"/>
                <w:szCs w:val="16"/>
              </w:rPr>
            </w:pPr>
            <w:r w:rsidRPr="006343CE">
              <w:rPr>
                <w:rFonts w:cs="Calibri"/>
                <w:color w:val="000000"/>
                <w:sz w:val="16"/>
                <w:szCs w:val="16"/>
              </w:rPr>
              <w:t>F</w:t>
            </w:r>
          </w:p>
        </w:tc>
        <w:tc>
          <w:tcPr>
            <w:tcW w:w="3700" w:type="dxa"/>
            <w:shd w:val="clear" w:color="auto" w:fill="auto"/>
            <w:vAlign w:val="center"/>
            <w:hideMark/>
          </w:tcPr>
          <w:p w14:paraId="07094916" w14:textId="77777777" w:rsidR="00801F4F" w:rsidRPr="006343CE" w:rsidRDefault="00801F4F" w:rsidP="00FA0EEC">
            <w:pPr>
              <w:rPr>
                <w:rFonts w:cs="Calibri"/>
                <w:color w:val="000000"/>
                <w:sz w:val="16"/>
                <w:szCs w:val="16"/>
              </w:rPr>
            </w:pPr>
            <w:r w:rsidRPr="006343CE">
              <w:rPr>
                <w:rFonts w:cs="Calibri"/>
                <w:color w:val="000000"/>
                <w:sz w:val="16"/>
                <w:szCs w:val="16"/>
              </w:rPr>
              <w:t>Spese di verifica preliminare dei requisiti di registrabilità e spese di deposito di domande di registrazione di marchi dell'UE e internazionali al fine di proteggere tali marchi sui mercati internazionali</w:t>
            </w:r>
          </w:p>
        </w:tc>
        <w:tc>
          <w:tcPr>
            <w:tcW w:w="1000" w:type="dxa"/>
            <w:shd w:val="clear" w:color="auto" w:fill="auto"/>
            <w:vAlign w:val="center"/>
            <w:hideMark/>
          </w:tcPr>
          <w:p w14:paraId="0A457317" w14:textId="77777777" w:rsidR="00801F4F" w:rsidRPr="006343CE" w:rsidRDefault="00801F4F" w:rsidP="00FA0EEC">
            <w:pPr>
              <w:jc w:val="right"/>
              <w:rPr>
                <w:rFonts w:cs="Calibri"/>
                <w:color w:val="000000"/>
                <w:sz w:val="16"/>
                <w:szCs w:val="16"/>
              </w:rPr>
            </w:pPr>
            <w:r w:rsidRPr="006343CE">
              <w:rPr>
                <w:rFonts w:cs="Calibri"/>
                <w:color w:val="000000"/>
                <w:sz w:val="16"/>
                <w:szCs w:val="16"/>
              </w:rPr>
              <w:t>2.000,00</w:t>
            </w:r>
          </w:p>
        </w:tc>
        <w:tc>
          <w:tcPr>
            <w:tcW w:w="960" w:type="dxa"/>
            <w:shd w:val="clear" w:color="auto" w:fill="auto"/>
            <w:vAlign w:val="center"/>
            <w:hideMark/>
          </w:tcPr>
          <w:p w14:paraId="255CDF45" w14:textId="77777777" w:rsidR="00801F4F" w:rsidRPr="006343CE" w:rsidRDefault="00801F4F" w:rsidP="00FA0EEC">
            <w:pPr>
              <w:jc w:val="right"/>
              <w:rPr>
                <w:rFonts w:cs="Calibri"/>
                <w:color w:val="000000"/>
                <w:sz w:val="16"/>
                <w:szCs w:val="16"/>
              </w:rPr>
            </w:pPr>
            <w:r w:rsidRPr="006343CE">
              <w:rPr>
                <w:rFonts w:cs="Calibri"/>
                <w:color w:val="000000"/>
                <w:sz w:val="16"/>
                <w:szCs w:val="16"/>
              </w:rPr>
              <w:t>2.000,00</w:t>
            </w:r>
          </w:p>
        </w:tc>
        <w:tc>
          <w:tcPr>
            <w:tcW w:w="960" w:type="dxa"/>
            <w:shd w:val="clear" w:color="auto" w:fill="auto"/>
            <w:vAlign w:val="center"/>
            <w:hideMark/>
          </w:tcPr>
          <w:p w14:paraId="76EE3075" w14:textId="77777777" w:rsidR="00801F4F" w:rsidRPr="006343CE" w:rsidRDefault="00801F4F" w:rsidP="00FA0EEC">
            <w:pPr>
              <w:jc w:val="right"/>
              <w:rPr>
                <w:rFonts w:cs="Calibri"/>
                <w:color w:val="000000"/>
                <w:sz w:val="16"/>
                <w:szCs w:val="16"/>
              </w:rPr>
            </w:pPr>
            <w:r w:rsidRPr="006343CE">
              <w:rPr>
                <w:rFonts w:cs="Calibri"/>
                <w:color w:val="000000"/>
                <w:sz w:val="16"/>
                <w:szCs w:val="16"/>
              </w:rPr>
              <w:t>2.000,00</w:t>
            </w:r>
          </w:p>
        </w:tc>
      </w:tr>
      <w:tr w:rsidR="00801F4F" w:rsidRPr="006343CE" w14:paraId="0D1012CD" w14:textId="77777777" w:rsidTr="00FA0EEC">
        <w:trPr>
          <w:trHeight w:val="300"/>
          <w:jc w:val="center"/>
        </w:trPr>
        <w:tc>
          <w:tcPr>
            <w:tcW w:w="6812" w:type="dxa"/>
            <w:gridSpan w:val="3"/>
            <w:shd w:val="clear" w:color="auto" w:fill="auto"/>
            <w:vAlign w:val="center"/>
            <w:hideMark/>
          </w:tcPr>
          <w:p w14:paraId="049E8F10" w14:textId="77777777" w:rsidR="00801F4F" w:rsidRPr="006343CE" w:rsidRDefault="00801F4F" w:rsidP="00FA0EEC">
            <w:pPr>
              <w:jc w:val="right"/>
              <w:rPr>
                <w:rFonts w:cs="Calibri"/>
                <w:color w:val="000000"/>
                <w:sz w:val="16"/>
                <w:szCs w:val="16"/>
              </w:rPr>
            </w:pPr>
            <w:r w:rsidRPr="006343CE">
              <w:rPr>
                <w:rFonts w:cs="Calibri"/>
                <w:color w:val="000000"/>
                <w:sz w:val="16"/>
                <w:szCs w:val="16"/>
              </w:rPr>
              <w:t>Totale costi diretti</w:t>
            </w:r>
          </w:p>
        </w:tc>
        <w:tc>
          <w:tcPr>
            <w:tcW w:w="1000" w:type="dxa"/>
            <w:shd w:val="clear" w:color="auto" w:fill="auto"/>
            <w:vAlign w:val="center"/>
            <w:hideMark/>
          </w:tcPr>
          <w:p w14:paraId="51E315CE" w14:textId="77777777" w:rsidR="00801F4F" w:rsidRPr="006343CE" w:rsidRDefault="00801F4F" w:rsidP="00FA0EEC">
            <w:pPr>
              <w:jc w:val="right"/>
              <w:rPr>
                <w:rFonts w:cs="Calibri"/>
                <w:color w:val="000000"/>
                <w:sz w:val="16"/>
                <w:szCs w:val="16"/>
              </w:rPr>
            </w:pPr>
            <w:r w:rsidRPr="006343CE">
              <w:rPr>
                <w:rFonts w:cs="Calibri"/>
                <w:color w:val="000000"/>
                <w:sz w:val="16"/>
                <w:szCs w:val="16"/>
              </w:rPr>
              <w:t>28.600,00</w:t>
            </w:r>
          </w:p>
        </w:tc>
        <w:tc>
          <w:tcPr>
            <w:tcW w:w="960" w:type="dxa"/>
            <w:shd w:val="clear" w:color="auto" w:fill="auto"/>
            <w:vAlign w:val="center"/>
            <w:hideMark/>
          </w:tcPr>
          <w:p w14:paraId="0FC85422" w14:textId="77777777" w:rsidR="00801F4F" w:rsidRPr="006343CE" w:rsidRDefault="00801F4F" w:rsidP="00FA0EEC">
            <w:pPr>
              <w:jc w:val="right"/>
              <w:rPr>
                <w:rFonts w:cs="Calibri"/>
                <w:color w:val="000000"/>
                <w:sz w:val="16"/>
                <w:szCs w:val="16"/>
              </w:rPr>
            </w:pPr>
            <w:r w:rsidRPr="006343CE">
              <w:rPr>
                <w:rFonts w:cs="Calibri"/>
                <w:color w:val="000000"/>
                <w:sz w:val="16"/>
                <w:szCs w:val="16"/>
              </w:rPr>
              <w:t>28.600,00</w:t>
            </w:r>
          </w:p>
        </w:tc>
        <w:tc>
          <w:tcPr>
            <w:tcW w:w="960" w:type="dxa"/>
            <w:shd w:val="clear" w:color="auto" w:fill="auto"/>
            <w:vAlign w:val="center"/>
            <w:hideMark/>
          </w:tcPr>
          <w:p w14:paraId="13505D18" w14:textId="77777777" w:rsidR="00801F4F" w:rsidRPr="006343CE" w:rsidRDefault="00801F4F" w:rsidP="00FA0EEC">
            <w:pPr>
              <w:jc w:val="right"/>
              <w:rPr>
                <w:rFonts w:cs="Calibri"/>
                <w:color w:val="000000"/>
                <w:sz w:val="16"/>
                <w:szCs w:val="16"/>
              </w:rPr>
            </w:pPr>
            <w:r w:rsidRPr="006343CE">
              <w:rPr>
                <w:rFonts w:cs="Calibri"/>
                <w:color w:val="000000"/>
                <w:sz w:val="16"/>
                <w:szCs w:val="16"/>
              </w:rPr>
              <w:t>28.600,00</w:t>
            </w:r>
          </w:p>
        </w:tc>
      </w:tr>
      <w:tr w:rsidR="00801F4F" w:rsidRPr="006343CE" w14:paraId="1BD6BAF8" w14:textId="77777777" w:rsidTr="00FA0EEC">
        <w:trPr>
          <w:trHeight w:val="492"/>
          <w:jc w:val="center"/>
        </w:trPr>
        <w:tc>
          <w:tcPr>
            <w:tcW w:w="2212" w:type="dxa"/>
            <w:shd w:val="clear" w:color="auto" w:fill="auto"/>
            <w:vAlign w:val="center"/>
            <w:hideMark/>
          </w:tcPr>
          <w:p w14:paraId="3CADF4FA" w14:textId="77777777" w:rsidR="00801F4F" w:rsidRPr="006343CE" w:rsidRDefault="00801F4F" w:rsidP="00FA0EEC">
            <w:pPr>
              <w:jc w:val="center"/>
              <w:rPr>
                <w:rFonts w:cs="Calibri"/>
                <w:b/>
                <w:bCs/>
                <w:color w:val="000000"/>
                <w:sz w:val="16"/>
                <w:szCs w:val="16"/>
              </w:rPr>
            </w:pPr>
            <w:r w:rsidRPr="006343CE">
              <w:rPr>
                <w:rFonts w:cs="Calibri"/>
                <w:b/>
                <w:bCs/>
                <w:color w:val="000000"/>
                <w:sz w:val="16"/>
                <w:szCs w:val="16"/>
              </w:rPr>
              <w:t>Costi diretti di personale</w:t>
            </w:r>
          </w:p>
        </w:tc>
        <w:tc>
          <w:tcPr>
            <w:tcW w:w="900" w:type="dxa"/>
            <w:shd w:val="clear" w:color="auto" w:fill="auto"/>
            <w:vAlign w:val="center"/>
            <w:hideMark/>
          </w:tcPr>
          <w:p w14:paraId="789BDEA1" w14:textId="77777777" w:rsidR="00801F4F" w:rsidRPr="006343CE" w:rsidRDefault="00801F4F" w:rsidP="00FA0EEC">
            <w:pPr>
              <w:jc w:val="center"/>
              <w:rPr>
                <w:rFonts w:cs="Calibri"/>
                <w:color w:val="000000"/>
                <w:sz w:val="16"/>
                <w:szCs w:val="16"/>
              </w:rPr>
            </w:pPr>
            <w:r w:rsidRPr="006343CE">
              <w:rPr>
                <w:rFonts w:cs="Calibri"/>
                <w:color w:val="000000"/>
                <w:sz w:val="16"/>
                <w:szCs w:val="16"/>
              </w:rPr>
              <w:t>G</w:t>
            </w:r>
          </w:p>
        </w:tc>
        <w:tc>
          <w:tcPr>
            <w:tcW w:w="3700" w:type="dxa"/>
            <w:shd w:val="clear" w:color="auto" w:fill="auto"/>
            <w:vAlign w:val="center"/>
            <w:hideMark/>
          </w:tcPr>
          <w:p w14:paraId="0EB8AF17" w14:textId="77777777" w:rsidR="00801F4F" w:rsidRPr="006343CE" w:rsidRDefault="00801F4F" w:rsidP="00FA0EEC">
            <w:pPr>
              <w:jc w:val="right"/>
              <w:rPr>
                <w:rFonts w:cs="Calibri"/>
                <w:color w:val="000000"/>
                <w:sz w:val="16"/>
                <w:szCs w:val="16"/>
              </w:rPr>
            </w:pPr>
            <w:r w:rsidRPr="006343CE">
              <w:rPr>
                <w:rFonts w:cs="Calibri"/>
                <w:color w:val="000000"/>
                <w:sz w:val="16"/>
                <w:szCs w:val="16"/>
              </w:rPr>
              <w:t>Totale costi personale (20% del totale costi diretti diversi dal personale)</w:t>
            </w:r>
          </w:p>
        </w:tc>
        <w:tc>
          <w:tcPr>
            <w:tcW w:w="1000" w:type="dxa"/>
            <w:shd w:val="clear" w:color="auto" w:fill="auto"/>
            <w:vAlign w:val="center"/>
            <w:hideMark/>
          </w:tcPr>
          <w:p w14:paraId="5E21CEB5" w14:textId="77777777" w:rsidR="00801F4F" w:rsidRPr="006343CE" w:rsidRDefault="00801F4F" w:rsidP="00FA0EEC">
            <w:pPr>
              <w:jc w:val="right"/>
              <w:rPr>
                <w:rFonts w:cs="Calibri"/>
                <w:color w:val="000000"/>
                <w:sz w:val="16"/>
                <w:szCs w:val="16"/>
              </w:rPr>
            </w:pPr>
            <w:r w:rsidRPr="006343CE">
              <w:rPr>
                <w:rFonts w:cs="Calibri"/>
                <w:color w:val="000000"/>
                <w:sz w:val="16"/>
                <w:szCs w:val="16"/>
              </w:rPr>
              <w:t>5.720,00</w:t>
            </w:r>
          </w:p>
        </w:tc>
        <w:tc>
          <w:tcPr>
            <w:tcW w:w="960" w:type="dxa"/>
            <w:shd w:val="clear" w:color="auto" w:fill="auto"/>
            <w:vAlign w:val="center"/>
            <w:hideMark/>
          </w:tcPr>
          <w:p w14:paraId="5203EF49" w14:textId="77777777" w:rsidR="00801F4F" w:rsidRPr="006343CE" w:rsidRDefault="00801F4F" w:rsidP="00FA0EEC">
            <w:pPr>
              <w:jc w:val="right"/>
              <w:rPr>
                <w:rFonts w:cs="Calibri"/>
                <w:color w:val="000000"/>
                <w:sz w:val="16"/>
                <w:szCs w:val="16"/>
              </w:rPr>
            </w:pPr>
            <w:r w:rsidRPr="006343CE">
              <w:rPr>
                <w:rFonts w:cs="Calibri"/>
                <w:color w:val="000000"/>
                <w:sz w:val="16"/>
                <w:szCs w:val="16"/>
              </w:rPr>
              <w:t>5.720,00</w:t>
            </w:r>
          </w:p>
        </w:tc>
        <w:tc>
          <w:tcPr>
            <w:tcW w:w="960" w:type="dxa"/>
            <w:shd w:val="clear" w:color="auto" w:fill="auto"/>
            <w:vAlign w:val="center"/>
            <w:hideMark/>
          </w:tcPr>
          <w:p w14:paraId="7BFFB52F" w14:textId="77777777" w:rsidR="00801F4F" w:rsidRPr="006343CE" w:rsidRDefault="00801F4F" w:rsidP="00FA0EEC">
            <w:pPr>
              <w:jc w:val="right"/>
              <w:rPr>
                <w:rFonts w:cs="Calibri"/>
                <w:color w:val="000000"/>
                <w:sz w:val="16"/>
                <w:szCs w:val="16"/>
              </w:rPr>
            </w:pPr>
            <w:r w:rsidRPr="006343CE">
              <w:rPr>
                <w:rFonts w:cs="Calibri"/>
                <w:color w:val="000000"/>
                <w:sz w:val="16"/>
                <w:szCs w:val="16"/>
              </w:rPr>
              <w:t>5.720,00</w:t>
            </w:r>
          </w:p>
        </w:tc>
      </w:tr>
      <w:tr w:rsidR="00801F4F" w:rsidRPr="006343CE" w14:paraId="6C36D758" w14:textId="77777777" w:rsidTr="00FA0EEC">
        <w:trPr>
          <w:trHeight w:val="300"/>
          <w:jc w:val="center"/>
        </w:trPr>
        <w:tc>
          <w:tcPr>
            <w:tcW w:w="6812" w:type="dxa"/>
            <w:gridSpan w:val="3"/>
            <w:shd w:val="clear" w:color="auto" w:fill="auto"/>
            <w:vAlign w:val="center"/>
            <w:hideMark/>
          </w:tcPr>
          <w:p w14:paraId="17CF8F58" w14:textId="77777777" w:rsidR="00801F4F" w:rsidRPr="006343CE" w:rsidRDefault="00801F4F" w:rsidP="00FA0EEC">
            <w:pPr>
              <w:jc w:val="right"/>
              <w:rPr>
                <w:rFonts w:cs="Calibri"/>
                <w:color w:val="000000"/>
                <w:sz w:val="16"/>
                <w:szCs w:val="16"/>
              </w:rPr>
            </w:pPr>
            <w:r w:rsidRPr="006343CE">
              <w:rPr>
                <w:rFonts w:cs="Calibri"/>
                <w:color w:val="000000"/>
                <w:sz w:val="16"/>
                <w:szCs w:val="16"/>
              </w:rPr>
              <w:t>TOTALE COSTI</w:t>
            </w:r>
          </w:p>
        </w:tc>
        <w:tc>
          <w:tcPr>
            <w:tcW w:w="1000" w:type="dxa"/>
            <w:shd w:val="clear" w:color="auto" w:fill="auto"/>
            <w:vAlign w:val="center"/>
            <w:hideMark/>
          </w:tcPr>
          <w:p w14:paraId="10BACEE1" w14:textId="77777777" w:rsidR="00801F4F" w:rsidRPr="006343CE" w:rsidRDefault="00801F4F" w:rsidP="00FA0EEC">
            <w:pPr>
              <w:jc w:val="right"/>
              <w:rPr>
                <w:rFonts w:cs="Calibri"/>
                <w:color w:val="000000"/>
                <w:sz w:val="16"/>
                <w:szCs w:val="16"/>
              </w:rPr>
            </w:pPr>
            <w:r w:rsidRPr="006343CE">
              <w:rPr>
                <w:rFonts w:cs="Calibri"/>
                <w:color w:val="000000"/>
                <w:sz w:val="16"/>
                <w:szCs w:val="16"/>
              </w:rPr>
              <w:t>34.320,00</w:t>
            </w:r>
          </w:p>
        </w:tc>
        <w:tc>
          <w:tcPr>
            <w:tcW w:w="960" w:type="dxa"/>
            <w:shd w:val="clear" w:color="auto" w:fill="auto"/>
            <w:vAlign w:val="center"/>
            <w:hideMark/>
          </w:tcPr>
          <w:p w14:paraId="699F5225" w14:textId="77777777" w:rsidR="00801F4F" w:rsidRPr="006343CE" w:rsidRDefault="00801F4F" w:rsidP="00FA0EEC">
            <w:pPr>
              <w:jc w:val="right"/>
              <w:rPr>
                <w:rFonts w:cs="Calibri"/>
                <w:color w:val="000000"/>
                <w:sz w:val="16"/>
                <w:szCs w:val="16"/>
              </w:rPr>
            </w:pPr>
            <w:r w:rsidRPr="006343CE">
              <w:rPr>
                <w:rFonts w:cs="Calibri"/>
                <w:color w:val="000000"/>
                <w:sz w:val="16"/>
                <w:szCs w:val="16"/>
              </w:rPr>
              <w:t>34.320,00</w:t>
            </w:r>
          </w:p>
        </w:tc>
        <w:tc>
          <w:tcPr>
            <w:tcW w:w="960" w:type="dxa"/>
            <w:shd w:val="clear" w:color="auto" w:fill="auto"/>
            <w:vAlign w:val="center"/>
            <w:hideMark/>
          </w:tcPr>
          <w:p w14:paraId="201F4F6D" w14:textId="77777777" w:rsidR="00801F4F" w:rsidRPr="006343CE" w:rsidRDefault="00801F4F" w:rsidP="00FA0EEC">
            <w:pPr>
              <w:jc w:val="right"/>
              <w:rPr>
                <w:rFonts w:cs="Calibri"/>
                <w:color w:val="000000"/>
                <w:sz w:val="16"/>
                <w:szCs w:val="16"/>
              </w:rPr>
            </w:pPr>
            <w:r w:rsidRPr="006343CE">
              <w:rPr>
                <w:rFonts w:cs="Calibri"/>
                <w:color w:val="000000"/>
                <w:sz w:val="16"/>
                <w:szCs w:val="16"/>
              </w:rPr>
              <w:t>34.320,00</w:t>
            </w:r>
          </w:p>
        </w:tc>
      </w:tr>
      <w:tr w:rsidR="00801F4F" w:rsidRPr="006343CE" w14:paraId="5E0FC8F1" w14:textId="77777777" w:rsidTr="00FA0EEC">
        <w:trPr>
          <w:trHeight w:val="300"/>
          <w:jc w:val="center"/>
        </w:trPr>
        <w:tc>
          <w:tcPr>
            <w:tcW w:w="6812" w:type="dxa"/>
            <w:gridSpan w:val="3"/>
            <w:shd w:val="clear" w:color="auto" w:fill="auto"/>
            <w:vAlign w:val="center"/>
            <w:hideMark/>
          </w:tcPr>
          <w:p w14:paraId="0EF04781" w14:textId="77777777" w:rsidR="00801F4F" w:rsidRPr="006343CE" w:rsidRDefault="00801F4F" w:rsidP="00FA0EEC">
            <w:pPr>
              <w:jc w:val="right"/>
              <w:rPr>
                <w:rFonts w:cs="Calibri"/>
                <w:color w:val="000000"/>
                <w:sz w:val="16"/>
                <w:szCs w:val="16"/>
              </w:rPr>
            </w:pPr>
            <w:r w:rsidRPr="006343CE">
              <w:rPr>
                <w:rFonts w:cs="Calibri"/>
                <w:color w:val="000000"/>
                <w:sz w:val="16"/>
                <w:szCs w:val="16"/>
              </w:rPr>
              <w:t>Adeguamento prezzi +10%</w:t>
            </w:r>
          </w:p>
        </w:tc>
        <w:tc>
          <w:tcPr>
            <w:tcW w:w="1000" w:type="dxa"/>
            <w:shd w:val="clear" w:color="auto" w:fill="auto"/>
            <w:vAlign w:val="center"/>
            <w:hideMark/>
          </w:tcPr>
          <w:p w14:paraId="32F3CF25" w14:textId="77777777" w:rsidR="00801F4F" w:rsidRPr="006343CE" w:rsidRDefault="00801F4F" w:rsidP="00FA0EEC">
            <w:pPr>
              <w:jc w:val="right"/>
              <w:rPr>
                <w:rFonts w:cs="Calibri"/>
                <w:color w:val="000000"/>
                <w:sz w:val="16"/>
                <w:szCs w:val="16"/>
              </w:rPr>
            </w:pPr>
            <w:r w:rsidRPr="006343CE">
              <w:rPr>
                <w:rFonts w:cs="Calibri"/>
                <w:color w:val="000000"/>
                <w:sz w:val="16"/>
                <w:szCs w:val="16"/>
              </w:rPr>
              <w:t>3.432,00</w:t>
            </w:r>
          </w:p>
        </w:tc>
        <w:tc>
          <w:tcPr>
            <w:tcW w:w="960" w:type="dxa"/>
            <w:shd w:val="clear" w:color="auto" w:fill="auto"/>
            <w:vAlign w:val="center"/>
            <w:hideMark/>
          </w:tcPr>
          <w:p w14:paraId="4E5E8985" w14:textId="77777777" w:rsidR="00801F4F" w:rsidRPr="006343CE" w:rsidRDefault="00801F4F" w:rsidP="00FA0EEC">
            <w:pPr>
              <w:jc w:val="right"/>
              <w:rPr>
                <w:rFonts w:cs="Calibri"/>
                <w:color w:val="000000"/>
                <w:sz w:val="16"/>
                <w:szCs w:val="16"/>
              </w:rPr>
            </w:pPr>
            <w:r w:rsidRPr="006343CE">
              <w:rPr>
                <w:rFonts w:cs="Calibri"/>
                <w:color w:val="000000"/>
                <w:sz w:val="16"/>
                <w:szCs w:val="16"/>
              </w:rPr>
              <w:t>3.432,00</w:t>
            </w:r>
          </w:p>
        </w:tc>
        <w:tc>
          <w:tcPr>
            <w:tcW w:w="960" w:type="dxa"/>
            <w:shd w:val="clear" w:color="auto" w:fill="auto"/>
            <w:vAlign w:val="center"/>
            <w:hideMark/>
          </w:tcPr>
          <w:p w14:paraId="1BCE8D4F" w14:textId="77777777" w:rsidR="00801F4F" w:rsidRPr="006343CE" w:rsidRDefault="00801F4F" w:rsidP="00FA0EEC">
            <w:pPr>
              <w:jc w:val="right"/>
              <w:rPr>
                <w:rFonts w:cs="Calibri"/>
                <w:color w:val="000000"/>
                <w:sz w:val="16"/>
                <w:szCs w:val="16"/>
              </w:rPr>
            </w:pPr>
            <w:r w:rsidRPr="006343CE">
              <w:rPr>
                <w:rFonts w:cs="Calibri"/>
                <w:color w:val="000000"/>
                <w:sz w:val="16"/>
                <w:szCs w:val="16"/>
              </w:rPr>
              <w:t>3.432,00</w:t>
            </w:r>
          </w:p>
        </w:tc>
      </w:tr>
      <w:tr w:rsidR="00801F4F" w:rsidRPr="006343CE" w14:paraId="61A3B168" w14:textId="77777777" w:rsidTr="00FA0EEC">
        <w:trPr>
          <w:trHeight w:val="300"/>
          <w:jc w:val="center"/>
        </w:trPr>
        <w:tc>
          <w:tcPr>
            <w:tcW w:w="6812" w:type="dxa"/>
            <w:gridSpan w:val="3"/>
            <w:shd w:val="clear" w:color="auto" w:fill="auto"/>
            <w:vAlign w:val="center"/>
            <w:hideMark/>
          </w:tcPr>
          <w:p w14:paraId="1E9CBD10" w14:textId="77777777" w:rsidR="00801F4F" w:rsidRPr="006343CE" w:rsidRDefault="00801F4F" w:rsidP="00FA0EEC">
            <w:pPr>
              <w:jc w:val="right"/>
              <w:rPr>
                <w:rFonts w:cs="Calibri"/>
                <w:color w:val="000000"/>
                <w:sz w:val="16"/>
                <w:szCs w:val="16"/>
              </w:rPr>
            </w:pPr>
            <w:r w:rsidRPr="006343CE">
              <w:rPr>
                <w:rFonts w:cs="Calibri"/>
                <w:color w:val="000000"/>
                <w:sz w:val="16"/>
                <w:szCs w:val="16"/>
              </w:rPr>
              <w:t>TOTALE PARZIALE</w:t>
            </w:r>
          </w:p>
        </w:tc>
        <w:tc>
          <w:tcPr>
            <w:tcW w:w="1000" w:type="dxa"/>
            <w:shd w:val="clear" w:color="auto" w:fill="auto"/>
            <w:vAlign w:val="center"/>
            <w:hideMark/>
          </w:tcPr>
          <w:p w14:paraId="7E0DDDC9" w14:textId="77777777" w:rsidR="00801F4F" w:rsidRPr="006343CE" w:rsidRDefault="00801F4F" w:rsidP="00FA0EEC">
            <w:pPr>
              <w:jc w:val="right"/>
              <w:rPr>
                <w:rFonts w:cs="Calibri"/>
                <w:color w:val="000000"/>
                <w:sz w:val="16"/>
                <w:szCs w:val="16"/>
              </w:rPr>
            </w:pPr>
            <w:r w:rsidRPr="006343CE">
              <w:rPr>
                <w:rFonts w:cs="Calibri"/>
                <w:color w:val="000000"/>
                <w:sz w:val="16"/>
                <w:szCs w:val="16"/>
              </w:rPr>
              <w:t>37.752,00</w:t>
            </w:r>
          </w:p>
        </w:tc>
        <w:tc>
          <w:tcPr>
            <w:tcW w:w="960" w:type="dxa"/>
            <w:shd w:val="clear" w:color="auto" w:fill="auto"/>
            <w:vAlign w:val="center"/>
            <w:hideMark/>
          </w:tcPr>
          <w:p w14:paraId="75025317" w14:textId="77777777" w:rsidR="00801F4F" w:rsidRPr="006343CE" w:rsidRDefault="00801F4F" w:rsidP="00FA0EEC">
            <w:pPr>
              <w:jc w:val="right"/>
              <w:rPr>
                <w:rFonts w:cs="Calibri"/>
                <w:color w:val="000000"/>
                <w:sz w:val="16"/>
                <w:szCs w:val="16"/>
              </w:rPr>
            </w:pPr>
            <w:r w:rsidRPr="006343CE">
              <w:rPr>
                <w:rFonts w:cs="Calibri"/>
                <w:color w:val="000000"/>
                <w:sz w:val="16"/>
                <w:szCs w:val="16"/>
              </w:rPr>
              <w:t>37.752,00</w:t>
            </w:r>
          </w:p>
        </w:tc>
        <w:tc>
          <w:tcPr>
            <w:tcW w:w="960" w:type="dxa"/>
            <w:shd w:val="clear" w:color="auto" w:fill="auto"/>
            <w:vAlign w:val="center"/>
            <w:hideMark/>
          </w:tcPr>
          <w:p w14:paraId="753A88EC" w14:textId="77777777" w:rsidR="00801F4F" w:rsidRPr="006343CE" w:rsidRDefault="00801F4F" w:rsidP="00FA0EEC">
            <w:pPr>
              <w:jc w:val="right"/>
              <w:rPr>
                <w:rFonts w:cs="Calibri"/>
                <w:color w:val="000000"/>
                <w:sz w:val="16"/>
                <w:szCs w:val="16"/>
              </w:rPr>
            </w:pPr>
            <w:r w:rsidRPr="006343CE">
              <w:rPr>
                <w:rFonts w:cs="Calibri"/>
                <w:color w:val="000000"/>
                <w:sz w:val="16"/>
                <w:szCs w:val="16"/>
              </w:rPr>
              <w:t>37.752,00</w:t>
            </w:r>
          </w:p>
        </w:tc>
      </w:tr>
      <w:tr w:rsidR="00801F4F" w:rsidRPr="006343CE" w14:paraId="09A3AF5A" w14:textId="77777777" w:rsidTr="00FA0EEC">
        <w:trPr>
          <w:trHeight w:val="300"/>
          <w:jc w:val="center"/>
        </w:trPr>
        <w:tc>
          <w:tcPr>
            <w:tcW w:w="6812" w:type="dxa"/>
            <w:gridSpan w:val="3"/>
            <w:shd w:val="clear" w:color="auto" w:fill="auto"/>
            <w:vAlign w:val="center"/>
            <w:hideMark/>
          </w:tcPr>
          <w:p w14:paraId="5FD9BD5E" w14:textId="77777777" w:rsidR="00801F4F" w:rsidRPr="006343CE" w:rsidRDefault="00801F4F" w:rsidP="00FA0EEC">
            <w:pPr>
              <w:jc w:val="right"/>
              <w:rPr>
                <w:rFonts w:cs="Calibri"/>
                <w:color w:val="000000"/>
                <w:sz w:val="16"/>
                <w:szCs w:val="16"/>
              </w:rPr>
            </w:pPr>
            <w:r w:rsidRPr="006343CE">
              <w:rPr>
                <w:rFonts w:cs="Calibri"/>
                <w:color w:val="000000"/>
                <w:sz w:val="16"/>
                <w:szCs w:val="16"/>
              </w:rPr>
              <w:t>Applicazione riduzione -50% su totale parziale per cofinanziamento impresa</w:t>
            </w:r>
          </w:p>
        </w:tc>
        <w:tc>
          <w:tcPr>
            <w:tcW w:w="1000" w:type="dxa"/>
            <w:shd w:val="clear" w:color="auto" w:fill="auto"/>
            <w:vAlign w:val="center"/>
            <w:hideMark/>
          </w:tcPr>
          <w:p w14:paraId="3F42B024" w14:textId="77777777" w:rsidR="00801F4F" w:rsidRPr="006343CE" w:rsidRDefault="00801F4F" w:rsidP="00FA0EEC">
            <w:pPr>
              <w:jc w:val="right"/>
              <w:rPr>
                <w:rFonts w:cs="Calibri"/>
                <w:color w:val="000000"/>
                <w:sz w:val="16"/>
                <w:szCs w:val="16"/>
              </w:rPr>
            </w:pPr>
            <w:r w:rsidRPr="006343CE">
              <w:rPr>
                <w:rFonts w:cs="Calibri"/>
                <w:color w:val="000000"/>
                <w:sz w:val="16"/>
                <w:szCs w:val="16"/>
              </w:rPr>
              <w:t>18.876,00</w:t>
            </w:r>
          </w:p>
        </w:tc>
        <w:tc>
          <w:tcPr>
            <w:tcW w:w="960" w:type="dxa"/>
            <w:shd w:val="clear" w:color="auto" w:fill="auto"/>
            <w:vAlign w:val="center"/>
            <w:hideMark/>
          </w:tcPr>
          <w:p w14:paraId="7C6C2B9E" w14:textId="77777777" w:rsidR="00801F4F" w:rsidRPr="006343CE" w:rsidRDefault="00801F4F" w:rsidP="00FA0EEC">
            <w:pPr>
              <w:jc w:val="right"/>
              <w:rPr>
                <w:rFonts w:cs="Calibri"/>
                <w:color w:val="000000"/>
                <w:sz w:val="16"/>
                <w:szCs w:val="16"/>
              </w:rPr>
            </w:pPr>
            <w:r w:rsidRPr="006343CE">
              <w:rPr>
                <w:rFonts w:cs="Calibri"/>
                <w:color w:val="000000"/>
                <w:sz w:val="16"/>
                <w:szCs w:val="16"/>
              </w:rPr>
              <w:t>18.876,00</w:t>
            </w:r>
          </w:p>
        </w:tc>
        <w:tc>
          <w:tcPr>
            <w:tcW w:w="960" w:type="dxa"/>
            <w:shd w:val="clear" w:color="auto" w:fill="auto"/>
            <w:vAlign w:val="center"/>
            <w:hideMark/>
          </w:tcPr>
          <w:p w14:paraId="5CD244BB" w14:textId="77777777" w:rsidR="00801F4F" w:rsidRPr="006343CE" w:rsidRDefault="00801F4F" w:rsidP="00FA0EEC">
            <w:pPr>
              <w:jc w:val="right"/>
              <w:rPr>
                <w:rFonts w:cs="Calibri"/>
                <w:color w:val="000000"/>
                <w:sz w:val="16"/>
                <w:szCs w:val="16"/>
              </w:rPr>
            </w:pPr>
            <w:r w:rsidRPr="006343CE">
              <w:rPr>
                <w:rFonts w:cs="Calibri"/>
                <w:color w:val="000000"/>
                <w:sz w:val="16"/>
                <w:szCs w:val="16"/>
              </w:rPr>
              <w:t>18.876,00</w:t>
            </w:r>
          </w:p>
        </w:tc>
      </w:tr>
      <w:tr w:rsidR="00801F4F" w:rsidRPr="006343CE" w14:paraId="33E558E1" w14:textId="77777777" w:rsidTr="00FA0EEC">
        <w:trPr>
          <w:trHeight w:val="300"/>
          <w:jc w:val="center"/>
        </w:trPr>
        <w:tc>
          <w:tcPr>
            <w:tcW w:w="6812" w:type="dxa"/>
            <w:gridSpan w:val="3"/>
            <w:shd w:val="clear" w:color="auto" w:fill="auto"/>
            <w:vAlign w:val="center"/>
            <w:hideMark/>
          </w:tcPr>
          <w:p w14:paraId="678AB502" w14:textId="77777777" w:rsidR="00801F4F" w:rsidRPr="006343CE" w:rsidRDefault="00801F4F" w:rsidP="00FA0EEC">
            <w:pPr>
              <w:jc w:val="right"/>
              <w:rPr>
                <w:rFonts w:cs="Calibri"/>
                <w:color w:val="000000"/>
                <w:sz w:val="16"/>
                <w:szCs w:val="16"/>
              </w:rPr>
            </w:pPr>
            <w:r w:rsidRPr="006343CE">
              <w:rPr>
                <w:rFonts w:cs="Calibri"/>
                <w:color w:val="000000"/>
                <w:sz w:val="16"/>
                <w:szCs w:val="16"/>
              </w:rPr>
              <w:t>TOTALE GENERALE non arrotondato</w:t>
            </w:r>
          </w:p>
        </w:tc>
        <w:tc>
          <w:tcPr>
            <w:tcW w:w="1000" w:type="dxa"/>
            <w:shd w:val="clear" w:color="auto" w:fill="auto"/>
            <w:vAlign w:val="center"/>
            <w:hideMark/>
          </w:tcPr>
          <w:p w14:paraId="4F4EF919" w14:textId="77777777" w:rsidR="00801F4F" w:rsidRPr="006343CE" w:rsidRDefault="00801F4F" w:rsidP="00FA0EEC">
            <w:pPr>
              <w:jc w:val="right"/>
              <w:rPr>
                <w:rFonts w:cs="Calibri"/>
                <w:color w:val="000000"/>
                <w:sz w:val="16"/>
                <w:szCs w:val="16"/>
              </w:rPr>
            </w:pPr>
            <w:r w:rsidRPr="006343CE">
              <w:rPr>
                <w:rFonts w:cs="Calibri"/>
                <w:color w:val="000000"/>
                <w:sz w:val="16"/>
                <w:szCs w:val="16"/>
              </w:rPr>
              <w:t>18.876,00</w:t>
            </w:r>
          </w:p>
        </w:tc>
        <w:tc>
          <w:tcPr>
            <w:tcW w:w="960" w:type="dxa"/>
            <w:shd w:val="clear" w:color="auto" w:fill="auto"/>
            <w:vAlign w:val="center"/>
            <w:hideMark/>
          </w:tcPr>
          <w:p w14:paraId="23B71916" w14:textId="77777777" w:rsidR="00801F4F" w:rsidRPr="006343CE" w:rsidRDefault="00801F4F" w:rsidP="00FA0EEC">
            <w:pPr>
              <w:jc w:val="right"/>
              <w:rPr>
                <w:rFonts w:cs="Calibri"/>
                <w:color w:val="000000"/>
                <w:sz w:val="16"/>
                <w:szCs w:val="16"/>
              </w:rPr>
            </w:pPr>
            <w:r w:rsidRPr="006343CE">
              <w:rPr>
                <w:rFonts w:cs="Calibri"/>
                <w:color w:val="000000"/>
                <w:sz w:val="16"/>
                <w:szCs w:val="16"/>
              </w:rPr>
              <w:t>18.876,00</w:t>
            </w:r>
          </w:p>
        </w:tc>
        <w:tc>
          <w:tcPr>
            <w:tcW w:w="960" w:type="dxa"/>
            <w:shd w:val="clear" w:color="auto" w:fill="auto"/>
            <w:vAlign w:val="center"/>
            <w:hideMark/>
          </w:tcPr>
          <w:p w14:paraId="424A3523" w14:textId="77777777" w:rsidR="00801F4F" w:rsidRPr="006343CE" w:rsidRDefault="00801F4F" w:rsidP="00FA0EEC">
            <w:pPr>
              <w:jc w:val="right"/>
              <w:rPr>
                <w:rFonts w:cs="Calibri"/>
                <w:color w:val="000000"/>
                <w:sz w:val="16"/>
                <w:szCs w:val="16"/>
              </w:rPr>
            </w:pPr>
            <w:r w:rsidRPr="006343CE">
              <w:rPr>
                <w:rFonts w:cs="Calibri"/>
                <w:color w:val="000000"/>
                <w:sz w:val="16"/>
                <w:szCs w:val="16"/>
              </w:rPr>
              <w:t>18.876,00</w:t>
            </w:r>
          </w:p>
        </w:tc>
      </w:tr>
      <w:tr w:rsidR="00801F4F" w:rsidRPr="006343CE" w14:paraId="3919076B" w14:textId="77777777" w:rsidTr="00FA0EEC">
        <w:trPr>
          <w:trHeight w:val="300"/>
          <w:jc w:val="center"/>
        </w:trPr>
        <w:tc>
          <w:tcPr>
            <w:tcW w:w="6812" w:type="dxa"/>
            <w:gridSpan w:val="3"/>
            <w:shd w:val="clear" w:color="auto" w:fill="auto"/>
            <w:vAlign w:val="center"/>
            <w:hideMark/>
          </w:tcPr>
          <w:p w14:paraId="008F8F6D" w14:textId="77777777" w:rsidR="00801F4F" w:rsidRPr="006343CE" w:rsidRDefault="00801F4F" w:rsidP="00FA0EEC">
            <w:pPr>
              <w:jc w:val="right"/>
              <w:rPr>
                <w:rFonts w:cs="Calibri"/>
                <w:color w:val="000000"/>
                <w:sz w:val="16"/>
                <w:szCs w:val="16"/>
              </w:rPr>
            </w:pPr>
            <w:r w:rsidRPr="006343CE">
              <w:rPr>
                <w:rFonts w:cs="Calibri"/>
                <w:color w:val="000000"/>
                <w:sz w:val="16"/>
                <w:szCs w:val="16"/>
              </w:rPr>
              <w:t>Applicazione bonus +3% per ambito tematico</w:t>
            </w:r>
          </w:p>
        </w:tc>
        <w:tc>
          <w:tcPr>
            <w:tcW w:w="1000" w:type="dxa"/>
            <w:shd w:val="clear" w:color="auto" w:fill="auto"/>
            <w:vAlign w:val="center"/>
            <w:hideMark/>
          </w:tcPr>
          <w:p w14:paraId="1E7DFA5A" w14:textId="77777777" w:rsidR="00801F4F" w:rsidRPr="006343CE" w:rsidRDefault="00801F4F" w:rsidP="00FA0EEC">
            <w:pPr>
              <w:jc w:val="right"/>
              <w:rPr>
                <w:rFonts w:cs="Calibri"/>
                <w:color w:val="000000"/>
                <w:sz w:val="16"/>
                <w:szCs w:val="16"/>
              </w:rPr>
            </w:pPr>
            <w:r w:rsidRPr="006343CE">
              <w:rPr>
                <w:rFonts w:cs="Calibri"/>
                <w:color w:val="000000"/>
                <w:sz w:val="16"/>
                <w:szCs w:val="16"/>
              </w:rPr>
              <w:t>566,28</w:t>
            </w:r>
          </w:p>
        </w:tc>
        <w:tc>
          <w:tcPr>
            <w:tcW w:w="960" w:type="dxa"/>
            <w:shd w:val="clear" w:color="auto" w:fill="auto"/>
            <w:vAlign w:val="center"/>
            <w:hideMark/>
          </w:tcPr>
          <w:p w14:paraId="61FA198C" w14:textId="77777777" w:rsidR="00801F4F" w:rsidRPr="006343CE" w:rsidRDefault="00801F4F" w:rsidP="00FA0EEC">
            <w:pPr>
              <w:jc w:val="right"/>
              <w:rPr>
                <w:rFonts w:cs="Calibri"/>
                <w:color w:val="000000"/>
                <w:sz w:val="16"/>
                <w:szCs w:val="16"/>
              </w:rPr>
            </w:pPr>
            <w:r w:rsidRPr="006343CE">
              <w:rPr>
                <w:rFonts w:cs="Calibri"/>
                <w:color w:val="000000"/>
                <w:sz w:val="16"/>
                <w:szCs w:val="16"/>
              </w:rPr>
              <w:t>566,28</w:t>
            </w:r>
          </w:p>
        </w:tc>
        <w:tc>
          <w:tcPr>
            <w:tcW w:w="960" w:type="dxa"/>
            <w:shd w:val="clear" w:color="auto" w:fill="auto"/>
            <w:vAlign w:val="center"/>
            <w:hideMark/>
          </w:tcPr>
          <w:p w14:paraId="52B306CF" w14:textId="77777777" w:rsidR="00801F4F" w:rsidRPr="006343CE" w:rsidRDefault="00801F4F" w:rsidP="00FA0EEC">
            <w:pPr>
              <w:jc w:val="right"/>
              <w:rPr>
                <w:rFonts w:cs="Calibri"/>
                <w:color w:val="000000"/>
                <w:sz w:val="16"/>
                <w:szCs w:val="16"/>
              </w:rPr>
            </w:pPr>
            <w:r w:rsidRPr="006343CE">
              <w:rPr>
                <w:rFonts w:cs="Calibri"/>
                <w:color w:val="000000"/>
                <w:sz w:val="16"/>
                <w:szCs w:val="16"/>
              </w:rPr>
              <w:t> </w:t>
            </w:r>
          </w:p>
        </w:tc>
      </w:tr>
      <w:tr w:rsidR="00801F4F" w:rsidRPr="006343CE" w14:paraId="4FF6C547" w14:textId="77777777" w:rsidTr="00FA0EEC">
        <w:trPr>
          <w:trHeight w:val="300"/>
          <w:jc w:val="center"/>
        </w:trPr>
        <w:tc>
          <w:tcPr>
            <w:tcW w:w="6812" w:type="dxa"/>
            <w:gridSpan w:val="3"/>
            <w:shd w:val="clear" w:color="auto" w:fill="auto"/>
            <w:vAlign w:val="center"/>
            <w:hideMark/>
          </w:tcPr>
          <w:p w14:paraId="103E7402" w14:textId="77777777" w:rsidR="00801F4F" w:rsidRPr="006343CE" w:rsidRDefault="00801F4F" w:rsidP="00FA0EEC">
            <w:pPr>
              <w:jc w:val="right"/>
              <w:rPr>
                <w:rFonts w:cs="Calibri"/>
                <w:color w:val="000000"/>
                <w:sz w:val="16"/>
                <w:szCs w:val="16"/>
              </w:rPr>
            </w:pPr>
            <w:r w:rsidRPr="006343CE">
              <w:rPr>
                <w:rFonts w:cs="Calibri"/>
                <w:color w:val="000000"/>
                <w:sz w:val="16"/>
                <w:szCs w:val="16"/>
              </w:rPr>
              <w:t>Applicazione bonus + 3% per mercato geografico</w:t>
            </w:r>
          </w:p>
        </w:tc>
        <w:tc>
          <w:tcPr>
            <w:tcW w:w="1000" w:type="dxa"/>
            <w:shd w:val="clear" w:color="auto" w:fill="auto"/>
            <w:vAlign w:val="center"/>
            <w:hideMark/>
          </w:tcPr>
          <w:p w14:paraId="46F525ED" w14:textId="77777777" w:rsidR="00801F4F" w:rsidRPr="006343CE" w:rsidRDefault="00801F4F" w:rsidP="00FA0EEC">
            <w:pPr>
              <w:jc w:val="right"/>
              <w:rPr>
                <w:rFonts w:cs="Calibri"/>
                <w:color w:val="000000"/>
                <w:sz w:val="16"/>
                <w:szCs w:val="16"/>
              </w:rPr>
            </w:pPr>
            <w:r w:rsidRPr="006343CE">
              <w:rPr>
                <w:rFonts w:cs="Calibri"/>
                <w:color w:val="000000"/>
                <w:sz w:val="16"/>
                <w:szCs w:val="16"/>
              </w:rPr>
              <w:t>566,28</w:t>
            </w:r>
          </w:p>
        </w:tc>
        <w:tc>
          <w:tcPr>
            <w:tcW w:w="960" w:type="dxa"/>
            <w:shd w:val="clear" w:color="auto" w:fill="auto"/>
            <w:vAlign w:val="center"/>
            <w:hideMark/>
          </w:tcPr>
          <w:p w14:paraId="45BCCD97" w14:textId="77777777" w:rsidR="00801F4F" w:rsidRPr="006343CE" w:rsidRDefault="00801F4F" w:rsidP="00FA0EEC">
            <w:pPr>
              <w:jc w:val="right"/>
              <w:rPr>
                <w:rFonts w:cs="Calibri"/>
                <w:color w:val="000000"/>
                <w:sz w:val="16"/>
                <w:szCs w:val="16"/>
              </w:rPr>
            </w:pPr>
            <w:r w:rsidRPr="006343CE">
              <w:rPr>
                <w:rFonts w:cs="Calibri"/>
                <w:color w:val="000000"/>
                <w:sz w:val="16"/>
                <w:szCs w:val="16"/>
              </w:rPr>
              <w:t> </w:t>
            </w:r>
          </w:p>
        </w:tc>
        <w:tc>
          <w:tcPr>
            <w:tcW w:w="960" w:type="dxa"/>
            <w:shd w:val="clear" w:color="auto" w:fill="auto"/>
            <w:vAlign w:val="center"/>
            <w:hideMark/>
          </w:tcPr>
          <w:p w14:paraId="7727E12F" w14:textId="77777777" w:rsidR="00801F4F" w:rsidRPr="006343CE" w:rsidRDefault="00801F4F" w:rsidP="00FA0EEC">
            <w:pPr>
              <w:jc w:val="right"/>
              <w:rPr>
                <w:rFonts w:cs="Calibri"/>
                <w:color w:val="000000"/>
                <w:sz w:val="16"/>
                <w:szCs w:val="16"/>
              </w:rPr>
            </w:pPr>
            <w:r w:rsidRPr="006343CE">
              <w:rPr>
                <w:rFonts w:cs="Calibri"/>
                <w:color w:val="000000"/>
                <w:sz w:val="16"/>
                <w:szCs w:val="16"/>
              </w:rPr>
              <w:t> </w:t>
            </w:r>
          </w:p>
        </w:tc>
      </w:tr>
      <w:tr w:rsidR="00801F4F" w:rsidRPr="006343CE" w14:paraId="7DCFE5D8" w14:textId="77777777" w:rsidTr="00FA0EEC">
        <w:trPr>
          <w:trHeight w:val="300"/>
          <w:jc w:val="center"/>
        </w:trPr>
        <w:tc>
          <w:tcPr>
            <w:tcW w:w="6812" w:type="dxa"/>
            <w:gridSpan w:val="3"/>
            <w:shd w:val="clear" w:color="auto" w:fill="auto"/>
            <w:vAlign w:val="center"/>
            <w:hideMark/>
          </w:tcPr>
          <w:p w14:paraId="48FB22B6" w14:textId="77777777" w:rsidR="00801F4F" w:rsidRPr="006343CE" w:rsidRDefault="00801F4F" w:rsidP="00FA0EEC">
            <w:pPr>
              <w:jc w:val="right"/>
              <w:rPr>
                <w:rFonts w:cs="Calibri"/>
                <w:b/>
                <w:bCs/>
                <w:color w:val="000000"/>
                <w:sz w:val="16"/>
                <w:szCs w:val="16"/>
              </w:rPr>
            </w:pPr>
            <w:r w:rsidRPr="006343CE">
              <w:rPr>
                <w:rFonts w:cs="Calibri"/>
                <w:b/>
                <w:bCs/>
                <w:color w:val="000000"/>
                <w:sz w:val="16"/>
                <w:szCs w:val="16"/>
              </w:rPr>
              <w:t xml:space="preserve">SOMMA FORFETTARIA </w:t>
            </w:r>
          </w:p>
        </w:tc>
        <w:tc>
          <w:tcPr>
            <w:tcW w:w="1000" w:type="dxa"/>
            <w:shd w:val="clear" w:color="auto" w:fill="auto"/>
            <w:vAlign w:val="center"/>
            <w:hideMark/>
          </w:tcPr>
          <w:p w14:paraId="656F8BDD" w14:textId="77777777" w:rsidR="00801F4F" w:rsidRPr="006343CE" w:rsidRDefault="00801F4F" w:rsidP="00FA0EEC">
            <w:pPr>
              <w:jc w:val="right"/>
              <w:rPr>
                <w:rFonts w:cs="Calibri"/>
                <w:color w:val="000000"/>
                <w:sz w:val="16"/>
                <w:szCs w:val="16"/>
              </w:rPr>
            </w:pPr>
            <w:r w:rsidRPr="006343CE">
              <w:rPr>
                <w:rFonts w:cs="Calibri"/>
                <w:color w:val="000000"/>
                <w:sz w:val="16"/>
                <w:szCs w:val="16"/>
              </w:rPr>
              <w:t>20.008,56</w:t>
            </w:r>
          </w:p>
        </w:tc>
        <w:tc>
          <w:tcPr>
            <w:tcW w:w="960" w:type="dxa"/>
            <w:shd w:val="clear" w:color="auto" w:fill="auto"/>
            <w:vAlign w:val="center"/>
            <w:hideMark/>
          </w:tcPr>
          <w:p w14:paraId="03557EC5" w14:textId="77777777" w:rsidR="00801F4F" w:rsidRPr="006343CE" w:rsidRDefault="00801F4F" w:rsidP="00FA0EEC">
            <w:pPr>
              <w:jc w:val="right"/>
              <w:rPr>
                <w:rFonts w:cs="Calibri"/>
                <w:color w:val="000000"/>
                <w:sz w:val="16"/>
                <w:szCs w:val="16"/>
              </w:rPr>
            </w:pPr>
            <w:r w:rsidRPr="006343CE">
              <w:rPr>
                <w:rFonts w:cs="Calibri"/>
                <w:color w:val="000000"/>
                <w:sz w:val="16"/>
                <w:szCs w:val="16"/>
              </w:rPr>
              <w:t>19.442,28</w:t>
            </w:r>
          </w:p>
        </w:tc>
        <w:tc>
          <w:tcPr>
            <w:tcW w:w="960" w:type="dxa"/>
            <w:shd w:val="clear" w:color="auto" w:fill="auto"/>
            <w:vAlign w:val="center"/>
            <w:hideMark/>
          </w:tcPr>
          <w:p w14:paraId="01ED0B1C" w14:textId="77777777" w:rsidR="00801F4F" w:rsidRPr="006343CE" w:rsidRDefault="00801F4F" w:rsidP="00FA0EEC">
            <w:pPr>
              <w:jc w:val="right"/>
              <w:rPr>
                <w:rFonts w:cs="Calibri"/>
                <w:color w:val="000000"/>
                <w:sz w:val="16"/>
                <w:szCs w:val="16"/>
              </w:rPr>
            </w:pPr>
            <w:r w:rsidRPr="006343CE">
              <w:rPr>
                <w:rFonts w:cs="Calibri"/>
                <w:color w:val="000000"/>
                <w:sz w:val="16"/>
                <w:szCs w:val="16"/>
              </w:rPr>
              <w:t>18.876,00</w:t>
            </w:r>
          </w:p>
        </w:tc>
      </w:tr>
      <w:tr w:rsidR="00801F4F" w:rsidRPr="006343CE" w14:paraId="0FC537A5" w14:textId="77777777" w:rsidTr="00FA0EEC">
        <w:trPr>
          <w:trHeight w:val="300"/>
          <w:jc w:val="center"/>
        </w:trPr>
        <w:tc>
          <w:tcPr>
            <w:tcW w:w="6812" w:type="dxa"/>
            <w:gridSpan w:val="3"/>
            <w:shd w:val="clear" w:color="auto" w:fill="auto"/>
            <w:vAlign w:val="center"/>
            <w:hideMark/>
          </w:tcPr>
          <w:p w14:paraId="2BB183E9" w14:textId="77777777" w:rsidR="00801F4F" w:rsidRPr="006343CE" w:rsidRDefault="00801F4F" w:rsidP="00FA0EEC">
            <w:pPr>
              <w:jc w:val="right"/>
              <w:rPr>
                <w:rFonts w:cs="Calibri"/>
                <w:b/>
                <w:bCs/>
                <w:color w:val="000000"/>
                <w:sz w:val="16"/>
                <w:szCs w:val="16"/>
              </w:rPr>
            </w:pPr>
            <w:r w:rsidRPr="006343CE">
              <w:rPr>
                <w:rFonts w:cs="Calibri"/>
                <w:b/>
                <w:bCs/>
                <w:color w:val="000000"/>
                <w:sz w:val="16"/>
                <w:szCs w:val="16"/>
              </w:rPr>
              <w:t>SOMMA FORFETTARIA (VALORE ARROTONDATO)</w:t>
            </w:r>
          </w:p>
        </w:tc>
        <w:tc>
          <w:tcPr>
            <w:tcW w:w="1000" w:type="dxa"/>
            <w:shd w:val="clear" w:color="auto" w:fill="auto"/>
            <w:vAlign w:val="center"/>
            <w:hideMark/>
          </w:tcPr>
          <w:p w14:paraId="541E568A" w14:textId="77777777" w:rsidR="00801F4F" w:rsidRPr="006343CE" w:rsidRDefault="00801F4F" w:rsidP="00FA0EEC">
            <w:pPr>
              <w:jc w:val="right"/>
              <w:rPr>
                <w:rFonts w:cs="Calibri"/>
                <w:b/>
                <w:bCs/>
                <w:color w:val="000000"/>
                <w:sz w:val="16"/>
                <w:szCs w:val="16"/>
              </w:rPr>
            </w:pPr>
            <w:r w:rsidRPr="006343CE">
              <w:rPr>
                <w:rFonts w:cs="Calibri"/>
                <w:b/>
                <w:bCs/>
                <w:color w:val="000000"/>
                <w:sz w:val="16"/>
                <w:szCs w:val="16"/>
              </w:rPr>
              <w:t>20.000,00</w:t>
            </w:r>
          </w:p>
        </w:tc>
        <w:tc>
          <w:tcPr>
            <w:tcW w:w="960" w:type="dxa"/>
            <w:shd w:val="clear" w:color="auto" w:fill="auto"/>
            <w:vAlign w:val="center"/>
            <w:hideMark/>
          </w:tcPr>
          <w:p w14:paraId="2AEABE41" w14:textId="77777777" w:rsidR="00801F4F" w:rsidRPr="006343CE" w:rsidRDefault="00801F4F" w:rsidP="00FA0EEC">
            <w:pPr>
              <w:jc w:val="right"/>
              <w:rPr>
                <w:rFonts w:cs="Calibri"/>
                <w:b/>
                <w:bCs/>
                <w:color w:val="000000"/>
                <w:sz w:val="16"/>
                <w:szCs w:val="16"/>
              </w:rPr>
            </w:pPr>
            <w:r w:rsidRPr="006343CE">
              <w:rPr>
                <w:rFonts w:cs="Calibri"/>
                <w:b/>
                <w:bCs/>
                <w:color w:val="000000"/>
                <w:sz w:val="16"/>
                <w:szCs w:val="16"/>
              </w:rPr>
              <w:t>19.000,00</w:t>
            </w:r>
          </w:p>
        </w:tc>
        <w:tc>
          <w:tcPr>
            <w:tcW w:w="960" w:type="dxa"/>
            <w:shd w:val="clear" w:color="auto" w:fill="auto"/>
            <w:vAlign w:val="center"/>
            <w:hideMark/>
          </w:tcPr>
          <w:p w14:paraId="0A91A074" w14:textId="77777777" w:rsidR="00801F4F" w:rsidRPr="006343CE" w:rsidRDefault="00801F4F" w:rsidP="00FA0EEC">
            <w:pPr>
              <w:keepNext/>
              <w:jc w:val="right"/>
              <w:rPr>
                <w:rFonts w:cs="Calibri"/>
                <w:b/>
                <w:bCs/>
                <w:color w:val="000000"/>
                <w:sz w:val="16"/>
                <w:szCs w:val="16"/>
              </w:rPr>
            </w:pPr>
            <w:r w:rsidRPr="006343CE">
              <w:rPr>
                <w:rFonts w:cs="Calibri"/>
                <w:b/>
                <w:bCs/>
                <w:color w:val="000000"/>
                <w:sz w:val="16"/>
                <w:szCs w:val="16"/>
              </w:rPr>
              <w:t>18.000,00</w:t>
            </w:r>
          </w:p>
        </w:tc>
      </w:tr>
    </w:tbl>
    <w:p w14:paraId="1BF45C95" w14:textId="77777777" w:rsidR="00801F4F" w:rsidRDefault="00801F4F" w:rsidP="00801F4F">
      <w:pPr>
        <w:pStyle w:val="Didascalia"/>
        <w:jc w:val="center"/>
      </w:pPr>
      <w:bookmarkStart w:id="32" w:name="_Toc149133917"/>
      <w:r>
        <w:t xml:space="preserve">Tabella </w:t>
      </w:r>
      <w:r w:rsidR="00C20E77">
        <w:rPr>
          <w:noProof/>
        </w:rPr>
        <w:fldChar w:fldCharType="begin"/>
      </w:r>
      <w:r w:rsidR="00C20E77">
        <w:rPr>
          <w:noProof/>
        </w:rPr>
        <w:instrText xml:space="preserve"> SEQ Tabella \* ARABIC </w:instrText>
      </w:r>
      <w:r w:rsidR="00C20E77">
        <w:rPr>
          <w:noProof/>
        </w:rPr>
        <w:fldChar w:fldCharType="separate"/>
      </w:r>
      <w:r w:rsidR="00010300">
        <w:rPr>
          <w:noProof/>
        </w:rPr>
        <w:t>2</w:t>
      </w:r>
      <w:r w:rsidR="00C20E77">
        <w:rPr>
          <w:noProof/>
        </w:rPr>
        <w:fldChar w:fldCharType="end"/>
      </w:r>
      <w:r>
        <w:t xml:space="preserve"> - Ipotesi n. 2 di schema di bilancio</w:t>
      </w:r>
      <w:bookmarkEnd w:id="32"/>
    </w:p>
    <w:p w14:paraId="089076FB" w14:textId="77777777" w:rsidR="00801F4F" w:rsidRPr="0055655F" w:rsidRDefault="00801F4F" w:rsidP="00801F4F">
      <w:r w:rsidRPr="0055655F">
        <w:t>Pertanto, sulla base dell’ultima tabella riportata risulterebbe che per ogni istanza presentata ed il cui progetto fosse valutato positivamente andrebbe assegnato un importo forfettario, per la sola attività A1 dell’Avviso, pari complessivamente ad</w:t>
      </w:r>
      <w:r>
        <w:t xml:space="preserve"> </w:t>
      </w:r>
      <w:r w:rsidRPr="0055655F">
        <w:t xml:space="preserve">€ 20.000,00 nel caso in cui l’impresa istante presenti un progetto in grado di ottenere entrambi i bonus proposti (di settore e di mercato). </w:t>
      </w:r>
    </w:p>
    <w:p w14:paraId="29312D2A" w14:textId="77777777" w:rsidR="00801F4F" w:rsidRPr="0055655F" w:rsidRDefault="00801F4F" w:rsidP="00801F4F">
      <w:r w:rsidRPr="0055655F">
        <w:t>In tutti i casi riportati il pagamento del finanziamento al beneficiario sarà effettuato a seguito della presentazione di documentazione attestante la partecipazione dell’impresa alla fiera commerciale internazionale proposta. Tale documentazione sarà definita dagli allegati richiesti ai soggetti beneficiari in occasione della richiesta del saldo del finanziamento ottenuto nell’ambito degli avvisi oggetto della presente valutazione.</w:t>
      </w:r>
    </w:p>
    <w:p w14:paraId="5E9E5DA7" w14:textId="77777777" w:rsidR="00801F4F" w:rsidRPr="006343CE" w:rsidRDefault="00801F4F" w:rsidP="00801F4F">
      <w:pPr>
        <w:pStyle w:val="Titolo4"/>
      </w:pPr>
      <w:bookmarkStart w:id="33" w:name="_Toc83204184"/>
      <w:bookmarkStart w:id="34" w:name="_Toc149065978"/>
      <w:bookmarkStart w:id="35" w:name="_Toc149133891"/>
      <w:r w:rsidRPr="006343CE">
        <w:t>Ricerche di mercato</w:t>
      </w:r>
      <w:bookmarkEnd w:id="33"/>
      <w:bookmarkEnd w:id="34"/>
      <w:bookmarkEnd w:id="35"/>
    </w:p>
    <w:p w14:paraId="7C7BAEC0" w14:textId="77777777" w:rsidR="00801F4F" w:rsidRDefault="00801F4F" w:rsidP="00801F4F">
      <w:r w:rsidRPr="0055655F">
        <w:t xml:space="preserve">La definizione dei valori riferiti all’acquisto di servizi connessi all’e-commerce non trovando, nell’ambito delle procedure </w:t>
      </w:r>
      <w:r>
        <w:t>avviate</w:t>
      </w:r>
      <w:r w:rsidRPr="0055655F">
        <w:t xml:space="preserve"> dalla Sezione Internazionalizzazione, una base dati utile dalla quale poter estrarre dei valori indicativi per il calcolo di costi standard e/o somme forfettarie ha richiesto un diverso approccio rispetto alle metodologie riportate nei precedenti paragrafi. </w:t>
      </w:r>
    </w:p>
    <w:p w14:paraId="2FEBE8D9" w14:textId="77777777" w:rsidR="00801F4F" w:rsidRPr="0055655F" w:rsidRDefault="00801F4F" w:rsidP="00801F4F">
      <w:r w:rsidRPr="0055655F">
        <w:t xml:space="preserve">Nell’ambito della “Guida alle opzioni semplificate in materia di costi” redatta dalla Commissione Europea con la Comunicazione 2021/C 200/01, pubblicata sulla GUUE del 27/05/2021, si riporta, al par. 4.2.2 “le metodologie nella pratica”, che per quanto riguarda l’uso di informazioni oggettive per il calcolo delle OSC </w:t>
      </w:r>
      <w:r w:rsidRPr="006343CE">
        <w:t>si può far riferimento a indagini e ricerche di mercato, necessitando (queste ultime) dell’acquisizione di documentazione adeguata a supporto dei dati elaborati.</w:t>
      </w:r>
      <w:r w:rsidRPr="0055655F">
        <w:t xml:space="preserve"> </w:t>
      </w:r>
    </w:p>
    <w:p w14:paraId="0850924B" w14:textId="77777777" w:rsidR="00801F4F" w:rsidRPr="0055655F" w:rsidRDefault="00801F4F" w:rsidP="00801F4F">
      <w:r w:rsidRPr="0055655F">
        <w:t>A tal riguardo, con riferimento alle attività C1 “</w:t>
      </w:r>
      <w:r w:rsidRPr="0055655F">
        <w:rPr>
          <w:i/>
        </w:rPr>
        <w:t>Acquisto di strumenti, sistemi e/o servizi per l’avvio di un proprio sito e-commerce</w:t>
      </w:r>
      <w:r w:rsidRPr="0055655F">
        <w:t>” e C2 “</w:t>
      </w:r>
      <w:r w:rsidRPr="0055655F">
        <w:rPr>
          <w:i/>
        </w:rPr>
        <w:t>Acquisto di strumenti, sistemi e/o servizi per la creazione di una propria vetrina sui marketplace attivi sui mercati esteri</w:t>
      </w:r>
      <w:r w:rsidRPr="0055655F">
        <w:t xml:space="preserve">” dell’Avviso, è necessario dividere l’ambito di indagine in due macro settori, ovvero: l’acquisizione di servizi per la realizzazione di una piattaforma e-commerce proprietaria indirizzata verso potenziali clienti esteri (attività C1) e l’acquisizione di servizi per l’attivazione di una vetrina online nell’ambito di uno o più marketplace (B2B e B2C) in grado di rendere visibile la vetrina anche sui mercati diversi da quello italiano. </w:t>
      </w:r>
    </w:p>
    <w:p w14:paraId="16090956" w14:textId="77777777" w:rsidR="00801F4F" w:rsidRPr="0055655F" w:rsidRDefault="00801F4F" w:rsidP="00801F4F">
      <w:pPr>
        <w:spacing w:after="240"/>
      </w:pPr>
      <w:r w:rsidRPr="0055655F">
        <w:t>Rispetto alla prima attività (C1) è stata realizzata una prima indagine di mercato, la quale ha riportato il seguente schema dei costi:</w:t>
      </w:r>
    </w:p>
    <w:tbl>
      <w:tblPr>
        <w:tblStyle w:val="Grigliatabella"/>
        <w:tblW w:w="8406" w:type="dxa"/>
        <w:jc w:val="center"/>
        <w:tblBorders>
          <w:top w:val="single" w:sz="8" w:space="0" w:color="1F3864" w:themeColor="accent1" w:themeShade="80"/>
          <w:left w:val="single" w:sz="8" w:space="0" w:color="1F3864" w:themeColor="accent1" w:themeShade="80"/>
          <w:bottom w:val="single" w:sz="8" w:space="0" w:color="1F3864" w:themeColor="accent1" w:themeShade="80"/>
          <w:right w:val="single" w:sz="8" w:space="0" w:color="1F3864" w:themeColor="accent1" w:themeShade="80"/>
          <w:insideH w:val="single" w:sz="8" w:space="0" w:color="1F3864" w:themeColor="accent1" w:themeShade="80"/>
          <w:insideV w:val="single" w:sz="8" w:space="0" w:color="1F3864" w:themeColor="accent1" w:themeShade="80"/>
        </w:tblBorders>
        <w:tblLook w:val="04A0" w:firstRow="1" w:lastRow="0" w:firstColumn="1" w:lastColumn="0" w:noHBand="0" w:noVBand="1"/>
      </w:tblPr>
      <w:tblGrid>
        <w:gridCol w:w="1224"/>
        <w:gridCol w:w="2393"/>
        <w:gridCol w:w="2396"/>
        <w:gridCol w:w="2393"/>
      </w:tblGrid>
      <w:tr w:rsidR="00801F4F" w:rsidRPr="006343CE" w14:paraId="02ABCE60" w14:textId="77777777" w:rsidTr="00FA0EEC">
        <w:trPr>
          <w:jc w:val="center"/>
        </w:trPr>
        <w:tc>
          <w:tcPr>
            <w:tcW w:w="1224" w:type="dxa"/>
            <w:shd w:val="clear" w:color="auto" w:fill="2F5496" w:themeFill="accent1" w:themeFillShade="BF"/>
            <w:vAlign w:val="center"/>
          </w:tcPr>
          <w:p w14:paraId="73B7E3A8" w14:textId="77777777" w:rsidR="00801F4F" w:rsidRPr="006343CE" w:rsidRDefault="00801F4F" w:rsidP="00FA0EEC">
            <w:pPr>
              <w:jc w:val="center"/>
              <w:rPr>
                <w:b/>
                <w:bCs/>
                <w:color w:val="FFFFFF" w:themeColor="background1"/>
                <w:sz w:val="16"/>
                <w:szCs w:val="16"/>
              </w:rPr>
            </w:pPr>
            <w:r w:rsidRPr="006343CE">
              <w:rPr>
                <w:b/>
                <w:bCs/>
                <w:color w:val="FFFFFF" w:themeColor="background1"/>
                <w:sz w:val="16"/>
                <w:szCs w:val="16"/>
              </w:rPr>
              <w:t>Elementi di spesa</w:t>
            </w:r>
          </w:p>
        </w:tc>
        <w:tc>
          <w:tcPr>
            <w:tcW w:w="2393" w:type="dxa"/>
            <w:shd w:val="clear" w:color="auto" w:fill="2F5496" w:themeFill="accent1" w:themeFillShade="BF"/>
            <w:vAlign w:val="center"/>
          </w:tcPr>
          <w:p w14:paraId="70A5A5CE" w14:textId="77777777" w:rsidR="00801F4F" w:rsidRPr="006343CE" w:rsidRDefault="00801F4F" w:rsidP="00FA0EEC">
            <w:pPr>
              <w:jc w:val="center"/>
              <w:rPr>
                <w:b/>
                <w:bCs/>
                <w:color w:val="FFFFFF" w:themeColor="background1"/>
                <w:sz w:val="16"/>
                <w:szCs w:val="16"/>
              </w:rPr>
            </w:pPr>
            <w:r w:rsidRPr="006343CE">
              <w:rPr>
                <w:b/>
                <w:bCs/>
                <w:color w:val="FFFFFF" w:themeColor="background1"/>
                <w:sz w:val="16"/>
                <w:szCs w:val="16"/>
              </w:rPr>
              <w:t>BASE</w:t>
            </w:r>
          </w:p>
          <w:p w14:paraId="1DD6C0C1" w14:textId="77777777" w:rsidR="00801F4F" w:rsidRPr="006343CE" w:rsidRDefault="00801F4F" w:rsidP="00FA0EEC">
            <w:pPr>
              <w:jc w:val="center"/>
              <w:rPr>
                <w:b/>
                <w:bCs/>
                <w:color w:val="FFFFFF" w:themeColor="background1"/>
                <w:sz w:val="16"/>
                <w:szCs w:val="16"/>
              </w:rPr>
            </w:pPr>
            <w:r w:rsidRPr="006343CE">
              <w:rPr>
                <w:b/>
                <w:bCs/>
                <w:color w:val="FFFFFF" w:themeColor="background1"/>
                <w:sz w:val="16"/>
                <w:szCs w:val="16"/>
              </w:rPr>
              <w:t>(piccolo catalogo,</w:t>
            </w:r>
          </w:p>
          <w:p w14:paraId="52AD7BC3" w14:textId="77777777" w:rsidR="00801F4F" w:rsidRPr="006343CE" w:rsidRDefault="00801F4F" w:rsidP="00FA0EEC">
            <w:pPr>
              <w:jc w:val="center"/>
              <w:rPr>
                <w:b/>
                <w:bCs/>
                <w:color w:val="FFFFFF" w:themeColor="background1"/>
                <w:sz w:val="16"/>
                <w:szCs w:val="16"/>
              </w:rPr>
            </w:pPr>
            <w:r w:rsidRPr="006343CE">
              <w:rPr>
                <w:b/>
                <w:bCs/>
                <w:color w:val="FFFFFF" w:themeColor="background1"/>
                <w:sz w:val="16"/>
                <w:szCs w:val="16"/>
              </w:rPr>
              <w:t>Nessuna programmazione personalizzata,</w:t>
            </w:r>
          </w:p>
          <w:p w14:paraId="6471C4E6" w14:textId="77777777" w:rsidR="00801F4F" w:rsidRPr="006343CE" w:rsidRDefault="00801F4F" w:rsidP="00FA0EEC">
            <w:pPr>
              <w:jc w:val="center"/>
              <w:rPr>
                <w:b/>
                <w:bCs/>
                <w:color w:val="FFFFFF" w:themeColor="background1"/>
                <w:sz w:val="16"/>
                <w:szCs w:val="16"/>
              </w:rPr>
            </w:pPr>
            <w:r w:rsidRPr="006343CE">
              <w:rPr>
                <w:b/>
                <w:bCs/>
                <w:color w:val="FFFFFF" w:themeColor="background1"/>
                <w:sz w:val="16"/>
                <w:szCs w:val="16"/>
              </w:rPr>
              <w:t>Tema standard,</w:t>
            </w:r>
            <w:r>
              <w:rPr>
                <w:b/>
                <w:bCs/>
                <w:color w:val="FFFFFF" w:themeColor="background1"/>
                <w:sz w:val="16"/>
                <w:szCs w:val="16"/>
              </w:rPr>
              <w:t xml:space="preserve"> </w:t>
            </w:r>
            <w:r w:rsidRPr="006343CE">
              <w:rPr>
                <w:b/>
                <w:bCs/>
                <w:color w:val="FFFFFF" w:themeColor="background1"/>
                <w:sz w:val="16"/>
                <w:szCs w:val="16"/>
              </w:rPr>
              <w:t>traffico</w:t>
            </w:r>
            <w:r>
              <w:rPr>
                <w:b/>
                <w:bCs/>
                <w:color w:val="FFFFFF" w:themeColor="background1"/>
                <w:sz w:val="16"/>
                <w:szCs w:val="16"/>
              </w:rPr>
              <w:t xml:space="preserve"> </w:t>
            </w:r>
            <w:r w:rsidRPr="006343CE">
              <w:rPr>
                <w:b/>
                <w:bCs/>
                <w:color w:val="FFFFFF" w:themeColor="background1"/>
                <w:sz w:val="16"/>
                <w:szCs w:val="16"/>
              </w:rPr>
              <w:t>leggero)</w:t>
            </w:r>
          </w:p>
        </w:tc>
        <w:tc>
          <w:tcPr>
            <w:tcW w:w="2396" w:type="dxa"/>
            <w:shd w:val="clear" w:color="auto" w:fill="2F5496" w:themeFill="accent1" w:themeFillShade="BF"/>
            <w:vAlign w:val="center"/>
          </w:tcPr>
          <w:p w14:paraId="7B9B9C52" w14:textId="77777777" w:rsidR="00801F4F" w:rsidRPr="006343CE" w:rsidRDefault="00801F4F" w:rsidP="00FA0EEC">
            <w:pPr>
              <w:jc w:val="center"/>
              <w:rPr>
                <w:b/>
                <w:bCs/>
                <w:color w:val="FFFFFF" w:themeColor="background1"/>
                <w:sz w:val="16"/>
                <w:szCs w:val="16"/>
              </w:rPr>
            </w:pPr>
            <w:r w:rsidRPr="006343CE">
              <w:rPr>
                <w:b/>
                <w:bCs/>
                <w:color w:val="FFFFFF" w:themeColor="background1"/>
                <w:sz w:val="16"/>
                <w:szCs w:val="16"/>
              </w:rPr>
              <w:t>PERSONALIZZATA</w:t>
            </w:r>
          </w:p>
          <w:p w14:paraId="1BC8DDCB" w14:textId="77777777" w:rsidR="00801F4F" w:rsidRPr="006343CE" w:rsidRDefault="00801F4F" w:rsidP="00FA0EEC">
            <w:pPr>
              <w:jc w:val="center"/>
              <w:rPr>
                <w:b/>
                <w:bCs/>
                <w:color w:val="FFFFFF" w:themeColor="background1"/>
                <w:sz w:val="16"/>
                <w:szCs w:val="16"/>
              </w:rPr>
            </w:pPr>
            <w:r w:rsidRPr="006343CE">
              <w:rPr>
                <w:b/>
                <w:bCs/>
                <w:color w:val="FFFFFF" w:themeColor="background1"/>
                <w:sz w:val="16"/>
                <w:szCs w:val="16"/>
              </w:rPr>
              <w:t>(catalogo piccolo,</w:t>
            </w:r>
          </w:p>
          <w:p w14:paraId="03F16CB9" w14:textId="77777777" w:rsidR="00801F4F" w:rsidRPr="006343CE" w:rsidRDefault="00801F4F" w:rsidP="00FA0EEC">
            <w:pPr>
              <w:jc w:val="center"/>
              <w:rPr>
                <w:b/>
                <w:bCs/>
                <w:color w:val="FFFFFF" w:themeColor="background1"/>
                <w:sz w:val="16"/>
                <w:szCs w:val="16"/>
              </w:rPr>
            </w:pPr>
            <w:r w:rsidRPr="006343CE">
              <w:rPr>
                <w:b/>
                <w:bCs/>
                <w:color w:val="FFFFFF" w:themeColor="background1"/>
                <w:sz w:val="16"/>
                <w:szCs w:val="16"/>
              </w:rPr>
              <w:t>Programmazione personalizzata leggera, tema personalizzato, traffico medio)</w:t>
            </w:r>
          </w:p>
        </w:tc>
        <w:tc>
          <w:tcPr>
            <w:tcW w:w="2393" w:type="dxa"/>
            <w:shd w:val="clear" w:color="auto" w:fill="2F5496" w:themeFill="accent1" w:themeFillShade="BF"/>
            <w:vAlign w:val="center"/>
          </w:tcPr>
          <w:p w14:paraId="5FE49C9E" w14:textId="77777777" w:rsidR="00801F4F" w:rsidRPr="006343CE" w:rsidRDefault="00801F4F" w:rsidP="00FA0EEC">
            <w:pPr>
              <w:jc w:val="center"/>
              <w:rPr>
                <w:b/>
                <w:bCs/>
                <w:color w:val="FFFFFF" w:themeColor="background1"/>
                <w:sz w:val="16"/>
                <w:szCs w:val="16"/>
              </w:rPr>
            </w:pPr>
            <w:r w:rsidRPr="006343CE">
              <w:rPr>
                <w:b/>
                <w:bCs/>
                <w:color w:val="FFFFFF" w:themeColor="background1"/>
                <w:sz w:val="16"/>
                <w:szCs w:val="16"/>
              </w:rPr>
              <w:t>PREMIUM</w:t>
            </w:r>
          </w:p>
          <w:p w14:paraId="60594811" w14:textId="77777777" w:rsidR="00801F4F" w:rsidRPr="006343CE" w:rsidRDefault="00801F4F" w:rsidP="00FA0EEC">
            <w:pPr>
              <w:jc w:val="center"/>
              <w:rPr>
                <w:b/>
                <w:bCs/>
                <w:color w:val="FFFFFF" w:themeColor="background1"/>
                <w:sz w:val="16"/>
                <w:szCs w:val="16"/>
              </w:rPr>
            </w:pPr>
            <w:r w:rsidRPr="006343CE">
              <w:rPr>
                <w:b/>
                <w:bCs/>
                <w:color w:val="FFFFFF" w:themeColor="background1"/>
                <w:sz w:val="16"/>
                <w:szCs w:val="16"/>
              </w:rPr>
              <w:t>(integrazione di sistemi, ampio catalogo, programmazione personalizzata,</w:t>
            </w:r>
          </w:p>
          <w:p w14:paraId="5C2E98E1" w14:textId="77777777" w:rsidR="00801F4F" w:rsidRPr="006343CE" w:rsidRDefault="00801F4F" w:rsidP="00FA0EEC">
            <w:pPr>
              <w:jc w:val="center"/>
              <w:rPr>
                <w:b/>
                <w:bCs/>
                <w:color w:val="FFFFFF" w:themeColor="background1"/>
                <w:sz w:val="16"/>
                <w:szCs w:val="16"/>
              </w:rPr>
            </w:pPr>
            <w:r w:rsidRPr="006343CE">
              <w:rPr>
                <w:b/>
                <w:bCs/>
                <w:color w:val="FFFFFF" w:themeColor="background1"/>
                <w:sz w:val="16"/>
                <w:szCs w:val="16"/>
              </w:rPr>
              <w:t>Design personalizzato, traffico elevato)</w:t>
            </w:r>
          </w:p>
        </w:tc>
      </w:tr>
      <w:tr w:rsidR="00801F4F" w:rsidRPr="006343CE" w14:paraId="6D07F977" w14:textId="77777777" w:rsidTr="00FA0EEC">
        <w:trPr>
          <w:jc w:val="center"/>
        </w:trPr>
        <w:tc>
          <w:tcPr>
            <w:tcW w:w="1224" w:type="dxa"/>
          </w:tcPr>
          <w:p w14:paraId="1418FC2A" w14:textId="77777777" w:rsidR="00801F4F" w:rsidRPr="006343CE" w:rsidRDefault="00801F4F" w:rsidP="00FA0EEC">
            <w:pPr>
              <w:rPr>
                <w:color w:val="000000" w:themeColor="text1"/>
                <w:sz w:val="16"/>
                <w:szCs w:val="16"/>
              </w:rPr>
            </w:pPr>
            <w:r w:rsidRPr="006343CE">
              <w:rPr>
                <w:color w:val="000000" w:themeColor="text1"/>
                <w:sz w:val="16"/>
                <w:szCs w:val="16"/>
              </w:rPr>
              <w:t>Licenza</w:t>
            </w:r>
          </w:p>
        </w:tc>
        <w:tc>
          <w:tcPr>
            <w:tcW w:w="2393" w:type="dxa"/>
            <w:vAlign w:val="center"/>
          </w:tcPr>
          <w:p w14:paraId="1D8E8F16" w14:textId="77777777" w:rsidR="00801F4F" w:rsidRPr="006343CE" w:rsidRDefault="00801F4F" w:rsidP="00FA0EEC">
            <w:pPr>
              <w:rPr>
                <w:color w:val="000000" w:themeColor="text1"/>
                <w:sz w:val="16"/>
                <w:szCs w:val="16"/>
              </w:rPr>
            </w:pPr>
            <w:r w:rsidRPr="006343CE">
              <w:rPr>
                <w:color w:val="000000" w:themeColor="text1"/>
                <w:sz w:val="16"/>
                <w:szCs w:val="16"/>
              </w:rPr>
              <w:t>&lt; € 500,00</w:t>
            </w:r>
          </w:p>
        </w:tc>
        <w:tc>
          <w:tcPr>
            <w:tcW w:w="2396" w:type="dxa"/>
            <w:vAlign w:val="center"/>
          </w:tcPr>
          <w:p w14:paraId="0113EF7A" w14:textId="77777777" w:rsidR="00801F4F" w:rsidRPr="006343CE" w:rsidRDefault="00801F4F" w:rsidP="00FA0EEC">
            <w:pPr>
              <w:rPr>
                <w:color w:val="000000" w:themeColor="text1"/>
                <w:sz w:val="16"/>
                <w:szCs w:val="16"/>
              </w:rPr>
            </w:pPr>
            <w:r w:rsidRPr="006343CE">
              <w:rPr>
                <w:color w:val="000000" w:themeColor="text1"/>
                <w:sz w:val="16"/>
                <w:szCs w:val="16"/>
              </w:rPr>
              <w:t>&lt; € 5000,00</w:t>
            </w:r>
          </w:p>
        </w:tc>
        <w:tc>
          <w:tcPr>
            <w:tcW w:w="2393" w:type="dxa"/>
            <w:vAlign w:val="center"/>
          </w:tcPr>
          <w:p w14:paraId="74D6BC70" w14:textId="77777777" w:rsidR="00801F4F" w:rsidRPr="006343CE" w:rsidRDefault="00801F4F" w:rsidP="00FA0EEC">
            <w:pPr>
              <w:rPr>
                <w:color w:val="000000" w:themeColor="text1"/>
                <w:sz w:val="16"/>
                <w:szCs w:val="16"/>
              </w:rPr>
            </w:pPr>
            <w:r w:rsidRPr="006343CE">
              <w:rPr>
                <w:color w:val="000000" w:themeColor="text1"/>
                <w:sz w:val="16"/>
                <w:szCs w:val="16"/>
              </w:rPr>
              <w:t>€ 5.000,00 - € 100.000,00</w:t>
            </w:r>
          </w:p>
        </w:tc>
      </w:tr>
      <w:tr w:rsidR="00801F4F" w:rsidRPr="006343CE" w14:paraId="58A1CAB9" w14:textId="77777777" w:rsidTr="00FA0EEC">
        <w:trPr>
          <w:jc w:val="center"/>
        </w:trPr>
        <w:tc>
          <w:tcPr>
            <w:tcW w:w="1224" w:type="dxa"/>
          </w:tcPr>
          <w:p w14:paraId="65FA3B72" w14:textId="77777777" w:rsidR="00801F4F" w:rsidRPr="006343CE" w:rsidRDefault="00801F4F" w:rsidP="00FA0EEC">
            <w:pPr>
              <w:rPr>
                <w:color w:val="000000" w:themeColor="text1"/>
                <w:sz w:val="16"/>
                <w:szCs w:val="16"/>
              </w:rPr>
            </w:pPr>
            <w:r w:rsidRPr="006343CE">
              <w:rPr>
                <w:color w:val="000000" w:themeColor="text1"/>
                <w:sz w:val="16"/>
                <w:szCs w:val="16"/>
              </w:rPr>
              <w:t>Hosting (mensile)</w:t>
            </w:r>
          </w:p>
        </w:tc>
        <w:tc>
          <w:tcPr>
            <w:tcW w:w="2393" w:type="dxa"/>
            <w:vAlign w:val="center"/>
          </w:tcPr>
          <w:p w14:paraId="4BC76FF0" w14:textId="77777777" w:rsidR="00801F4F" w:rsidRPr="006343CE" w:rsidRDefault="00801F4F" w:rsidP="00FA0EEC">
            <w:pPr>
              <w:rPr>
                <w:color w:val="000000" w:themeColor="text1"/>
                <w:sz w:val="16"/>
                <w:szCs w:val="16"/>
              </w:rPr>
            </w:pPr>
            <w:r w:rsidRPr="006343CE">
              <w:rPr>
                <w:color w:val="000000" w:themeColor="text1"/>
                <w:sz w:val="16"/>
                <w:szCs w:val="16"/>
              </w:rPr>
              <w:t>€ 350,00</w:t>
            </w:r>
          </w:p>
        </w:tc>
        <w:tc>
          <w:tcPr>
            <w:tcW w:w="2396" w:type="dxa"/>
            <w:vAlign w:val="center"/>
          </w:tcPr>
          <w:p w14:paraId="3D1E16C4" w14:textId="77777777" w:rsidR="00801F4F" w:rsidRPr="006343CE" w:rsidRDefault="00801F4F" w:rsidP="00FA0EEC">
            <w:pPr>
              <w:rPr>
                <w:color w:val="000000" w:themeColor="text1"/>
                <w:sz w:val="16"/>
                <w:szCs w:val="16"/>
              </w:rPr>
            </w:pPr>
            <w:r w:rsidRPr="006343CE">
              <w:rPr>
                <w:color w:val="000000" w:themeColor="text1"/>
                <w:sz w:val="16"/>
                <w:szCs w:val="16"/>
              </w:rPr>
              <w:t>€ 500,00</w:t>
            </w:r>
          </w:p>
        </w:tc>
        <w:tc>
          <w:tcPr>
            <w:tcW w:w="2393" w:type="dxa"/>
            <w:vAlign w:val="center"/>
          </w:tcPr>
          <w:p w14:paraId="465C291B" w14:textId="77777777" w:rsidR="00801F4F" w:rsidRPr="006343CE" w:rsidRDefault="00801F4F" w:rsidP="00FA0EEC">
            <w:pPr>
              <w:rPr>
                <w:color w:val="000000" w:themeColor="text1"/>
                <w:sz w:val="16"/>
                <w:szCs w:val="16"/>
              </w:rPr>
            </w:pPr>
            <w:r w:rsidRPr="006343CE">
              <w:rPr>
                <w:color w:val="000000" w:themeColor="text1"/>
                <w:sz w:val="16"/>
                <w:szCs w:val="16"/>
              </w:rPr>
              <w:t>€ 1.000,00 - € 2.000,00</w:t>
            </w:r>
          </w:p>
        </w:tc>
      </w:tr>
      <w:tr w:rsidR="00801F4F" w:rsidRPr="006343CE" w14:paraId="6730BB97" w14:textId="77777777" w:rsidTr="00FA0EEC">
        <w:trPr>
          <w:jc w:val="center"/>
        </w:trPr>
        <w:tc>
          <w:tcPr>
            <w:tcW w:w="1224" w:type="dxa"/>
          </w:tcPr>
          <w:p w14:paraId="51EAF3D9" w14:textId="77777777" w:rsidR="00801F4F" w:rsidRPr="006343CE" w:rsidRDefault="00801F4F" w:rsidP="00FA0EEC">
            <w:pPr>
              <w:rPr>
                <w:color w:val="000000" w:themeColor="text1"/>
                <w:sz w:val="16"/>
                <w:szCs w:val="16"/>
              </w:rPr>
            </w:pPr>
            <w:r w:rsidRPr="006343CE">
              <w:rPr>
                <w:color w:val="000000" w:themeColor="text1"/>
                <w:sz w:val="16"/>
                <w:szCs w:val="16"/>
              </w:rPr>
              <w:t>Design</w:t>
            </w:r>
          </w:p>
        </w:tc>
        <w:tc>
          <w:tcPr>
            <w:tcW w:w="2393" w:type="dxa"/>
            <w:vAlign w:val="center"/>
          </w:tcPr>
          <w:p w14:paraId="3D99A11A" w14:textId="77777777" w:rsidR="00801F4F" w:rsidRPr="006343CE" w:rsidRDefault="00801F4F" w:rsidP="00FA0EEC">
            <w:pPr>
              <w:rPr>
                <w:color w:val="000000" w:themeColor="text1"/>
                <w:sz w:val="16"/>
                <w:szCs w:val="16"/>
              </w:rPr>
            </w:pPr>
            <w:r w:rsidRPr="006343CE">
              <w:rPr>
                <w:color w:val="000000" w:themeColor="text1"/>
                <w:sz w:val="16"/>
                <w:szCs w:val="16"/>
              </w:rPr>
              <w:t>&lt; € 3.000,00</w:t>
            </w:r>
          </w:p>
        </w:tc>
        <w:tc>
          <w:tcPr>
            <w:tcW w:w="2396" w:type="dxa"/>
            <w:vAlign w:val="center"/>
          </w:tcPr>
          <w:p w14:paraId="49C6310B" w14:textId="77777777" w:rsidR="00801F4F" w:rsidRPr="006343CE" w:rsidRDefault="00801F4F" w:rsidP="00FA0EEC">
            <w:pPr>
              <w:rPr>
                <w:color w:val="000000" w:themeColor="text1"/>
                <w:sz w:val="16"/>
                <w:szCs w:val="16"/>
              </w:rPr>
            </w:pPr>
            <w:r w:rsidRPr="006343CE">
              <w:rPr>
                <w:color w:val="000000" w:themeColor="text1"/>
                <w:sz w:val="16"/>
                <w:szCs w:val="16"/>
              </w:rPr>
              <w:t>€ 5.000,00 - € 10.000,00</w:t>
            </w:r>
          </w:p>
        </w:tc>
        <w:tc>
          <w:tcPr>
            <w:tcW w:w="2393" w:type="dxa"/>
            <w:vAlign w:val="center"/>
          </w:tcPr>
          <w:p w14:paraId="53546197" w14:textId="77777777" w:rsidR="00801F4F" w:rsidRPr="006343CE" w:rsidRDefault="00801F4F" w:rsidP="00FA0EEC">
            <w:pPr>
              <w:rPr>
                <w:color w:val="000000" w:themeColor="text1"/>
                <w:sz w:val="16"/>
                <w:szCs w:val="16"/>
              </w:rPr>
            </w:pPr>
            <w:r w:rsidRPr="006343CE">
              <w:rPr>
                <w:color w:val="000000" w:themeColor="text1"/>
                <w:sz w:val="16"/>
                <w:szCs w:val="16"/>
              </w:rPr>
              <w:t xml:space="preserve">€ 10.000,00 - € 150.000,00 </w:t>
            </w:r>
          </w:p>
        </w:tc>
      </w:tr>
      <w:tr w:rsidR="00801F4F" w:rsidRPr="006343CE" w14:paraId="6E1E53ED" w14:textId="77777777" w:rsidTr="00FA0EEC">
        <w:trPr>
          <w:jc w:val="center"/>
        </w:trPr>
        <w:tc>
          <w:tcPr>
            <w:tcW w:w="1224" w:type="dxa"/>
          </w:tcPr>
          <w:p w14:paraId="5399729C" w14:textId="77777777" w:rsidR="00801F4F" w:rsidRPr="006343CE" w:rsidRDefault="00801F4F" w:rsidP="00FA0EEC">
            <w:pPr>
              <w:rPr>
                <w:color w:val="000000" w:themeColor="text1"/>
                <w:sz w:val="16"/>
                <w:szCs w:val="16"/>
              </w:rPr>
            </w:pPr>
            <w:r w:rsidRPr="006343CE">
              <w:rPr>
                <w:color w:val="000000" w:themeColor="text1"/>
                <w:sz w:val="16"/>
                <w:szCs w:val="16"/>
              </w:rPr>
              <w:t>Sviluppo personalizzato</w:t>
            </w:r>
          </w:p>
        </w:tc>
        <w:tc>
          <w:tcPr>
            <w:tcW w:w="2393" w:type="dxa"/>
            <w:vAlign w:val="center"/>
          </w:tcPr>
          <w:p w14:paraId="40CEB3F2" w14:textId="77777777" w:rsidR="00801F4F" w:rsidRPr="006343CE" w:rsidRDefault="00801F4F" w:rsidP="00FA0EEC">
            <w:pPr>
              <w:rPr>
                <w:color w:val="000000" w:themeColor="text1"/>
                <w:sz w:val="16"/>
                <w:szCs w:val="16"/>
              </w:rPr>
            </w:pPr>
            <w:r w:rsidRPr="006343CE">
              <w:rPr>
                <w:color w:val="000000" w:themeColor="text1"/>
                <w:sz w:val="16"/>
                <w:szCs w:val="16"/>
              </w:rPr>
              <w:t>&lt; € 500,00</w:t>
            </w:r>
          </w:p>
        </w:tc>
        <w:tc>
          <w:tcPr>
            <w:tcW w:w="2396" w:type="dxa"/>
            <w:vAlign w:val="center"/>
          </w:tcPr>
          <w:p w14:paraId="54DA2C9F" w14:textId="77777777" w:rsidR="00801F4F" w:rsidRPr="006343CE" w:rsidRDefault="00801F4F" w:rsidP="00FA0EEC">
            <w:pPr>
              <w:rPr>
                <w:color w:val="000000" w:themeColor="text1"/>
                <w:sz w:val="16"/>
                <w:szCs w:val="16"/>
              </w:rPr>
            </w:pPr>
            <w:r w:rsidRPr="006343CE">
              <w:rPr>
                <w:color w:val="000000" w:themeColor="text1"/>
                <w:sz w:val="16"/>
                <w:szCs w:val="16"/>
              </w:rPr>
              <w:t>€ 2.000,00 - € 5.000,00</w:t>
            </w:r>
          </w:p>
        </w:tc>
        <w:tc>
          <w:tcPr>
            <w:tcW w:w="2393" w:type="dxa"/>
            <w:vAlign w:val="center"/>
          </w:tcPr>
          <w:p w14:paraId="50EEA435" w14:textId="77777777" w:rsidR="00801F4F" w:rsidRPr="006343CE" w:rsidRDefault="00801F4F" w:rsidP="00FA0EEC">
            <w:pPr>
              <w:rPr>
                <w:color w:val="000000" w:themeColor="text1"/>
                <w:sz w:val="16"/>
                <w:szCs w:val="16"/>
              </w:rPr>
            </w:pPr>
            <w:r w:rsidRPr="006343CE">
              <w:rPr>
                <w:color w:val="000000" w:themeColor="text1"/>
                <w:sz w:val="16"/>
                <w:szCs w:val="16"/>
              </w:rPr>
              <w:t>€ 10.000,00 - € 150.000,00</w:t>
            </w:r>
          </w:p>
        </w:tc>
      </w:tr>
      <w:tr w:rsidR="00801F4F" w:rsidRPr="006343CE" w14:paraId="3766FD5E" w14:textId="77777777" w:rsidTr="00FA0EEC">
        <w:trPr>
          <w:jc w:val="center"/>
        </w:trPr>
        <w:tc>
          <w:tcPr>
            <w:tcW w:w="1224" w:type="dxa"/>
          </w:tcPr>
          <w:p w14:paraId="1C86A0AA" w14:textId="77777777" w:rsidR="00801F4F" w:rsidRPr="006343CE" w:rsidRDefault="00801F4F" w:rsidP="00FA0EEC">
            <w:pPr>
              <w:rPr>
                <w:color w:val="000000" w:themeColor="text1"/>
                <w:sz w:val="16"/>
                <w:szCs w:val="16"/>
              </w:rPr>
            </w:pPr>
            <w:r w:rsidRPr="006343CE">
              <w:rPr>
                <w:color w:val="000000" w:themeColor="text1"/>
                <w:sz w:val="16"/>
                <w:szCs w:val="16"/>
              </w:rPr>
              <w:t>Setup/config</w:t>
            </w:r>
          </w:p>
        </w:tc>
        <w:tc>
          <w:tcPr>
            <w:tcW w:w="2393" w:type="dxa"/>
            <w:vAlign w:val="center"/>
          </w:tcPr>
          <w:p w14:paraId="73CE4D15" w14:textId="77777777" w:rsidR="00801F4F" w:rsidRPr="006343CE" w:rsidRDefault="00801F4F" w:rsidP="00FA0EEC">
            <w:pPr>
              <w:rPr>
                <w:color w:val="000000" w:themeColor="text1"/>
                <w:sz w:val="16"/>
                <w:szCs w:val="16"/>
              </w:rPr>
            </w:pPr>
            <w:r w:rsidRPr="006343CE">
              <w:rPr>
                <w:color w:val="000000" w:themeColor="text1"/>
                <w:sz w:val="16"/>
                <w:szCs w:val="16"/>
              </w:rPr>
              <w:t>&lt; € 3.000,00</w:t>
            </w:r>
          </w:p>
        </w:tc>
        <w:tc>
          <w:tcPr>
            <w:tcW w:w="2396" w:type="dxa"/>
            <w:vAlign w:val="center"/>
          </w:tcPr>
          <w:p w14:paraId="4C7008BA" w14:textId="77777777" w:rsidR="00801F4F" w:rsidRPr="006343CE" w:rsidRDefault="00801F4F" w:rsidP="00FA0EEC">
            <w:pPr>
              <w:rPr>
                <w:color w:val="000000" w:themeColor="text1"/>
                <w:sz w:val="16"/>
                <w:szCs w:val="16"/>
              </w:rPr>
            </w:pPr>
            <w:r w:rsidRPr="006343CE">
              <w:rPr>
                <w:color w:val="000000" w:themeColor="text1"/>
                <w:sz w:val="16"/>
                <w:szCs w:val="16"/>
              </w:rPr>
              <w:t>€ 2.000,00 - € 5.000,00</w:t>
            </w:r>
          </w:p>
        </w:tc>
        <w:tc>
          <w:tcPr>
            <w:tcW w:w="2393" w:type="dxa"/>
            <w:vAlign w:val="center"/>
          </w:tcPr>
          <w:p w14:paraId="010BA935" w14:textId="77777777" w:rsidR="00801F4F" w:rsidRPr="006343CE" w:rsidRDefault="00801F4F" w:rsidP="00FA0EEC">
            <w:pPr>
              <w:rPr>
                <w:color w:val="000000" w:themeColor="text1"/>
                <w:sz w:val="16"/>
                <w:szCs w:val="16"/>
              </w:rPr>
            </w:pPr>
            <w:r w:rsidRPr="006343CE">
              <w:rPr>
                <w:color w:val="000000" w:themeColor="text1"/>
                <w:sz w:val="16"/>
                <w:szCs w:val="16"/>
              </w:rPr>
              <w:t>€ 2.000,00 - € 10.000,00</w:t>
            </w:r>
          </w:p>
        </w:tc>
      </w:tr>
      <w:tr w:rsidR="00801F4F" w:rsidRPr="006343CE" w14:paraId="39B21A96" w14:textId="77777777" w:rsidTr="00FA0EEC">
        <w:trPr>
          <w:jc w:val="center"/>
        </w:trPr>
        <w:tc>
          <w:tcPr>
            <w:tcW w:w="1224" w:type="dxa"/>
          </w:tcPr>
          <w:p w14:paraId="0512D1F3" w14:textId="77777777" w:rsidR="00801F4F" w:rsidRPr="006343CE" w:rsidRDefault="00801F4F" w:rsidP="00FA0EEC">
            <w:pPr>
              <w:rPr>
                <w:color w:val="000000" w:themeColor="text1"/>
                <w:sz w:val="16"/>
                <w:szCs w:val="16"/>
              </w:rPr>
            </w:pPr>
            <w:r w:rsidRPr="006343CE">
              <w:rPr>
                <w:color w:val="000000" w:themeColor="text1"/>
                <w:sz w:val="16"/>
                <w:szCs w:val="16"/>
              </w:rPr>
              <w:t>Formazione</w:t>
            </w:r>
          </w:p>
        </w:tc>
        <w:tc>
          <w:tcPr>
            <w:tcW w:w="2393" w:type="dxa"/>
            <w:vAlign w:val="center"/>
          </w:tcPr>
          <w:p w14:paraId="3E0D0B34" w14:textId="77777777" w:rsidR="00801F4F" w:rsidRPr="006343CE" w:rsidRDefault="00801F4F" w:rsidP="00FA0EEC">
            <w:pPr>
              <w:rPr>
                <w:color w:val="000000" w:themeColor="text1"/>
                <w:sz w:val="16"/>
                <w:szCs w:val="16"/>
              </w:rPr>
            </w:pPr>
            <w:r w:rsidRPr="006343CE">
              <w:rPr>
                <w:color w:val="000000" w:themeColor="text1"/>
                <w:sz w:val="16"/>
                <w:szCs w:val="16"/>
              </w:rPr>
              <w:t>€ 500,00 - € 1.000,00</w:t>
            </w:r>
          </w:p>
        </w:tc>
        <w:tc>
          <w:tcPr>
            <w:tcW w:w="2396" w:type="dxa"/>
            <w:vAlign w:val="center"/>
          </w:tcPr>
          <w:p w14:paraId="15739F03" w14:textId="77777777" w:rsidR="00801F4F" w:rsidRPr="006343CE" w:rsidRDefault="00801F4F" w:rsidP="00FA0EEC">
            <w:pPr>
              <w:rPr>
                <w:color w:val="000000" w:themeColor="text1"/>
                <w:sz w:val="16"/>
                <w:szCs w:val="16"/>
              </w:rPr>
            </w:pPr>
            <w:r w:rsidRPr="006343CE">
              <w:rPr>
                <w:color w:val="000000" w:themeColor="text1"/>
                <w:sz w:val="16"/>
                <w:szCs w:val="16"/>
              </w:rPr>
              <w:t>€ 500,00 - € 2.000,00</w:t>
            </w:r>
          </w:p>
        </w:tc>
        <w:tc>
          <w:tcPr>
            <w:tcW w:w="2393" w:type="dxa"/>
            <w:vAlign w:val="center"/>
          </w:tcPr>
          <w:p w14:paraId="0FA7F6C2" w14:textId="77777777" w:rsidR="00801F4F" w:rsidRPr="006343CE" w:rsidRDefault="00801F4F" w:rsidP="00FA0EEC">
            <w:pPr>
              <w:rPr>
                <w:color w:val="000000" w:themeColor="text1"/>
                <w:sz w:val="16"/>
                <w:szCs w:val="16"/>
              </w:rPr>
            </w:pPr>
            <w:r w:rsidRPr="006343CE">
              <w:rPr>
                <w:color w:val="000000" w:themeColor="text1"/>
                <w:sz w:val="16"/>
                <w:szCs w:val="16"/>
              </w:rPr>
              <w:t xml:space="preserve">€ 500,00 - € 5.000,00 </w:t>
            </w:r>
          </w:p>
        </w:tc>
      </w:tr>
      <w:tr w:rsidR="00801F4F" w:rsidRPr="006343CE" w14:paraId="254F8ECE" w14:textId="77777777" w:rsidTr="00FA0EEC">
        <w:trPr>
          <w:jc w:val="center"/>
        </w:trPr>
        <w:tc>
          <w:tcPr>
            <w:tcW w:w="1224" w:type="dxa"/>
          </w:tcPr>
          <w:p w14:paraId="00B2C97B" w14:textId="77777777" w:rsidR="00801F4F" w:rsidRPr="006343CE" w:rsidRDefault="00801F4F" w:rsidP="00FA0EEC">
            <w:pPr>
              <w:rPr>
                <w:color w:val="000000" w:themeColor="text1"/>
                <w:sz w:val="16"/>
                <w:szCs w:val="16"/>
              </w:rPr>
            </w:pPr>
            <w:r w:rsidRPr="006343CE">
              <w:rPr>
                <w:color w:val="000000" w:themeColor="text1"/>
                <w:sz w:val="16"/>
                <w:szCs w:val="16"/>
              </w:rPr>
              <w:t>Manutenzione (mensile)</w:t>
            </w:r>
          </w:p>
        </w:tc>
        <w:tc>
          <w:tcPr>
            <w:tcW w:w="2393" w:type="dxa"/>
            <w:vAlign w:val="center"/>
          </w:tcPr>
          <w:p w14:paraId="65E8371E" w14:textId="77777777" w:rsidR="00801F4F" w:rsidRPr="006343CE" w:rsidRDefault="00801F4F" w:rsidP="00FA0EEC">
            <w:pPr>
              <w:rPr>
                <w:color w:val="000000" w:themeColor="text1"/>
                <w:sz w:val="16"/>
                <w:szCs w:val="16"/>
              </w:rPr>
            </w:pPr>
            <w:r w:rsidRPr="006343CE">
              <w:rPr>
                <w:color w:val="000000" w:themeColor="text1"/>
                <w:sz w:val="16"/>
                <w:szCs w:val="16"/>
              </w:rPr>
              <w:t>€ 500,00</w:t>
            </w:r>
          </w:p>
        </w:tc>
        <w:tc>
          <w:tcPr>
            <w:tcW w:w="2396" w:type="dxa"/>
            <w:vAlign w:val="center"/>
          </w:tcPr>
          <w:p w14:paraId="18976606" w14:textId="77777777" w:rsidR="00801F4F" w:rsidRPr="006343CE" w:rsidRDefault="00801F4F" w:rsidP="00FA0EEC">
            <w:pPr>
              <w:rPr>
                <w:color w:val="000000" w:themeColor="text1"/>
                <w:sz w:val="16"/>
                <w:szCs w:val="16"/>
              </w:rPr>
            </w:pPr>
            <w:r w:rsidRPr="006343CE">
              <w:rPr>
                <w:color w:val="000000" w:themeColor="text1"/>
                <w:sz w:val="16"/>
                <w:szCs w:val="16"/>
              </w:rPr>
              <w:t>€ 1.000,00 - € 2.000,00</w:t>
            </w:r>
          </w:p>
        </w:tc>
        <w:tc>
          <w:tcPr>
            <w:tcW w:w="2393" w:type="dxa"/>
            <w:vAlign w:val="center"/>
          </w:tcPr>
          <w:p w14:paraId="0331B73F" w14:textId="77777777" w:rsidR="00801F4F" w:rsidRPr="006343CE" w:rsidRDefault="00801F4F" w:rsidP="00FA0EEC">
            <w:pPr>
              <w:rPr>
                <w:color w:val="000000" w:themeColor="text1"/>
                <w:sz w:val="16"/>
                <w:szCs w:val="16"/>
              </w:rPr>
            </w:pPr>
            <w:r w:rsidRPr="006343CE">
              <w:rPr>
                <w:color w:val="000000" w:themeColor="text1"/>
                <w:sz w:val="16"/>
                <w:szCs w:val="16"/>
              </w:rPr>
              <w:t>€ 2.000,00 - € 5.000,00</w:t>
            </w:r>
          </w:p>
        </w:tc>
      </w:tr>
      <w:tr w:rsidR="00801F4F" w:rsidRPr="006343CE" w14:paraId="31D67FCA" w14:textId="77777777" w:rsidTr="00FA0EEC">
        <w:trPr>
          <w:jc w:val="center"/>
        </w:trPr>
        <w:tc>
          <w:tcPr>
            <w:tcW w:w="1224" w:type="dxa"/>
          </w:tcPr>
          <w:p w14:paraId="7826410A" w14:textId="77777777" w:rsidR="00801F4F" w:rsidRPr="006343CE" w:rsidRDefault="00801F4F" w:rsidP="00FA0EEC">
            <w:pPr>
              <w:rPr>
                <w:color w:val="000000" w:themeColor="text1"/>
                <w:sz w:val="16"/>
                <w:szCs w:val="16"/>
              </w:rPr>
            </w:pPr>
            <w:r w:rsidRPr="006343CE">
              <w:rPr>
                <w:color w:val="000000" w:themeColor="text1"/>
                <w:sz w:val="16"/>
                <w:szCs w:val="16"/>
              </w:rPr>
              <w:t>Configurazione totale</w:t>
            </w:r>
          </w:p>
        </w:tc>
        <w:tc>
          <w:tcPr>
            <w:tcW w:w="2393" w:type="dxa"/>
            <w:vAlign w:val="center"/>
          </w:tcPr>
          <w:p w14:paraId="6E9A030F" w14:textId="77777777" w:rsidR="00801F4F" w:rsidRPr="006343CE" w:rsidRDefault="00801F4F" w:rsidP="00FA0EEC">
            <w:pPr>
              <w:rPr>
                <w:color w:val="000000" w:themeColor="text1"/>
                <w:sz w:val="16"/>
                <w:szCs w:val="16"/>
              </w:rPr>
            </w:pPr>
            <w:r w:rsidRPr="006343CE">
              <w:rPr>
                <w:color w:val="000000" w:themeColor="text1"/>
                <w:sz w:val="16"/>
                <w:szCs w:val="16"/>
              </w:rPr>
              <w:t>&lt; € 11.000,00</w:t>
            </w:r>
          </w:p>
        </w:tc>
        <w:tc>
          <w:tcPr>
            <w:tcW w:w="2396" w:type="dxa"/>
            <w:vAlign w:val="center"/>
          </w:tcPr>
          <w:p w14:paraId="25743BFB" w14:textId="77777777" w:rsidR="00801F4F" w:rsidRPr="006343CE" w:rsidRDefault="00801F4F" w:rsidP="00FA0EEC">
            <w:pPr>
              <w:rPr>
                <w:color w:val="000000" w:themeColor="text1"/>
                <w:sz w:val="16"/>
                <w:szCs w:val="16"/>
              </w:rPr>
            </w:pPr>
            <w:r w:rsidRPr="006343CE">
              <w:rPr>
                <w:color w:val="000000" w:themeColor="text1"/>
                <w:sz w:val="16"/>
                <w:szCs w:val="16"/>
              </w:rPr>
              <w:t>€ 15.500,00 - € 29.000,00</w:t>
            </w:r>
          </w:p>
        </w:tc>
        <w:tc>
          <w:tcPr>
            <w:tcW w:w="2393" w:type="dxa"/>
            <w:vAlign w:val="center"/>
          </w:tcPr>
          <w:p w14:paraId="772DC474" w14:textId="77777777" w:rsidR="00801F4F" w:rsidRPr="006343CE" w:rsidRDefault="00801F4F" w:rsidP="00FA0EEC">
            <w:pPr>
              <w:rPr>
                <w:color w:val="000000" w:themeColor="text1"/>
                <w:sz w:val="16"/>
                <w:szCs w:val="16"/>
              </w:rPr>
            </w:pPr>
            <w:r w:rsidRPr="006343CE">
              <w:rPr>
                <w:color w:val="000000" w:themeColor="text1"/>
                <w:sz w:val="16"/>
                <w:szCs w:val="16"/>
              </w:rPr>
              <w:t>€ 30.500,00 - € 422.000,00</w:t>
            </w:r>
          </w:p>
        </w:tc>
      </w:tr>
      <w:tr w:rsidR="00801F4F" w:rsidRPr="006343CE" w14:paraId="0C42C860" w14:textId="77777777" w:rsidTr="00FA0EEC">
        <w:trPr>
          <w:jc w:val="center"/>
        </w:trPr>
        <w:tc>
          <w:tcPr>
            <w:tcW w:w="1224" w:type="dxa"/>
          </w:tcPr>
          <w:p w14:paraId="0CF146B9" w14:textId="77777777" w:rsidR="00801F4F" w:rsidRPr="006343CE" w:rsidRDefault="00801F4F" w:rsidP="00FA0EEC">
            <w:pPr>
              <w:rPr>
                <w:color w:val="000000" w:themeColor="text1"/>
                <w:sz w:val="16"/>
                <w:szCs w:val="16"/>
              </w:rPr>
            </w:pPr>
            <w:r w:rsidRPr="006343CE">
              <w:rPr>
                <w:color w:val="000000" w:themeColor="text1"/>
                <w:sz w:val="16"/>
                <w:szCs w:val="16"/>
              </w:rPr>
              <w:t>Annuale totale</w:t>
            </w:r>
          </w:p>
        </w:tc>
        <w:tc>
          <w:tcPr>
            <w:tcW w:w="2393" w:type="dxa"/>
            <w:vAlign w:val="center"/>
          </w:tcPr>
          <w:p w14:paraId="1F32CE9F" w14:textId="77777777" w:rsidR="00801F4F" w:rsidRPr="006343CE" w:rsidRDefault="00801F4F" w:rsidP="00FA0EEC">
            <w:pPr>
              <w:rPr>
                <w:color w:val="000000" w:themeColor="text1"/>
                <w:sz w:val="16"/>
                <w:szCs w:val="16"/>
              </w:rPr>
            </w:pPr>
            <w:r w:rsidRPr="006343CE">
              <w:rPr>
                <w:color w:val="000000" w:themeColor="text1"/>
                <w:sz w:val="16"/>
                <w:szCs w:val="16"/>
              </w:rPr>
              <w:t>&lt; € 12.000,00</w:t>
            </w:r>
          </w:p>
        </w:tc>
        <w:tc>
          <w:tcPr>
            <w:tcW w:w="2396" w:type="dxa"/>
            <w:vAlign w:val="center"/>
          </w:tcPr>
          <w:p w14:paraId="7B2D7210" w14:textId="77777777" w:rsidR="00801F4F" w:rsidRPr="006343CE" w:rsidRDefault="00801F4F" w:rsidP="00FA0EEC">
            <w:pPr>
              <w:rPr>
                <w:color w:val="000000" w:themeColor="text1"/>
                <w:sz w:val="16"/>
                <w:szCs w:val="16"/>
              </w:rPr>
            </w:pPr>
            <w:r w:rsidRPr="006343CE">
              <w:rPr>
                <w:color w:val="000000" w:themeColor="text1"/>
                <w:sz w:val="16"/>
                <w:szCs w:val="16"/>
              </w:rPr>
              <w:t>€ 18.000,00 - € 30.000,00</w:t>
            </w:r>
          </w:p>
        </w:tc>
        <w:tc>
          <w:tcPr>
            <w:tcW w:w="2393" w:type="dxa"/>
            <w:vAlign w:val="center"/>
          </w:tcPr>
          <w:p w14:paraId="197DDAE2" w14:textId="77777777" w:rsidR="00801F4F" w:rsidRPr="006343CE" w:rsidRDefault="00801F4F" w:rsidP="00FA0EEC">
            <w:pPr>
              <w:keepNext/>
              <w:rPr>
                <w:color w:val="000000" w:themeColor="text1"/>
                <w:sz w:val="16"/>
                <w:szCs w:val="16"/>
              </w:rPr>
            </w:pPr>
            <w:r w:rsidRPr="006343CE">
              <w:rPr>
                <w:color w:val="000000" w:themeColor="text1"/>
                <w:sz w:val="16"/>
                <w:szCs w:val="16"/>
              </w:rPr>
              <w:t>€ 36.000,00 - € 84.000,00</w:t>
            </w:r>
          </w:p>
        </w:tc>
      </w:tr>
    </w:tbl>
    <w:p w14:paraId="58C6075C" w14:textId="77777777" w:rsidR="00801F4F" w:rsidRDefault="00801F4F" w:rsidP="00801F4F">
      <w:pPr>
        <w:spacing w:after="120"/>
      </w:pPr>
    </w:p>
    <w:p w14:paraId="21AAD915" w14:textId="7D7BA09D" w:rsidR="00801F4F" w:rsidRDefault="00801F4F" w:rsidP="00801F4F">
      <w:pPr>
        <w:spacing w:after="120"/>
      </w:pPr>
      <w:r w:rsidRPr="0055655F">
        <w:t>Pertanto, relativamente ad un sito e-commerce tradizionale proprietario, volendo tralasciare l’opzione base e quella premium, e considerando l’opzione “personalizzata” si verrebbe a configurare una richiesta che varia dagli € 18.000,00 agli € 30.000,00 con un valore medio stimato di circa € 24.000,00 per la durata di un anno, oppure di € 2.000,00/mese.</w:t>
      </w:r>
      <w:r>
        <w:t xml:space="preserve"> La seguente tabella riporta uno schema riepilogativo.</w:t>
      </w:r>
    </w:p>
    <w:tbl>
      <w:tblPr>
        <w:tblStyle w:val="Grigliatabella"/>
        <w:tblW w:w="0" w:type="auto"/>
        <w:jc w:val="center"/>
        <w:tblBorders>
          <w:top w:val="single" w:sz="8" w:space="0" w:color="222A35" w:themeColor="text2" w:themeShade="80"/>
          <w:left w:val="single" w:sz="8" w:space="0" w:color="222A35" w:themeColor="text2" w:themeShade="80"/>
          <w:bottom w:val="single" w:sz="8" w:space="0" w:color="222A35" w:themeColor="text2" w:themeShade="80"/>
          <w:right w:val="single" w:sz="8" w:space="0" w:color="222A35" w:themeColor="text2" w:themeShade="80"/>
          <w:insideH w:val="single" w:sz="8" w:space="0" w:color="222A35" w:themeColor="text2" w:themeShade="80"/>
          <w:insideV w:val="single" w:sz="8" w:space="0" w:color="222A35" w:themeColor="text2" w:themeShade="80"/>
        </w:tblBorders>
        <w:tblLook w:val="04A0" w:firstRow="1" w:lastRow="0" w:firstColumn="1" w:lastColumn="0" w:noHBand="0" w:noVBand="1"/>
      </w:tblPr>
      <w:tblGrid>
        <w:gridCol w:w="3208"/>
        <w:gridCol w:w="3207"/>
        <w:gridCol w:w="3203"/>
      </w:tblGrid>
      <w:tr w:rsidR="00801F4F" w:rsidRPr="006343CE" w14:paraId="3E50F6FF" w14:textId="77777777" w:rsidTr="00FA0EEC">
        <w:trPr>
          <w:trHeight w:val="48"/>
          <w:jc w:val="center"/>
        </w:trPr>
        <w:tc>
          <w:tcPr>
            <w:tcW w:w="3234" w:type="dxa"/>
            <w:shd w:val="clear" w:color="auto" w:fill="8496B0" w:themeFill="text2" w:themeFillTint="99"/>
            <w:vAlign w:val="center"/>
          </w:tcPr>
          <w:p w14:paraId="3256BA8B" w14:textId="77777777" w:rsidR="00801F4F" w:rsidRPr="006343CE" w:rsidRDefault="00801F4F" w:rsidP="00FA0EEC">
            <w:pPr>
              <w:jc w:val="center"/>
              <w:rPr>
                <w:b/>
                <w:color w:val="FFFFFF" w:themeColor="background1"/>
                <w:sz w:val="16"/>
                <w:szCs w:val="16"/>
              </w:rPr>
            </w:pPr>
            <w:r w:rsidRPr="006343CE">
              <w:rPr>
                <w:b/>
                <w:color w:val="FFFFFF" w:themeColor="background1"/>
                <w:sz w:val="16"/>
                <w:szCs w:val="16"/>
              </w:rPr>
              <w:t>Attività</w:t>
            </w:r>
          </w:p>
        </w:tc>
        <w:tc>
          <w:tcPr>
            <w:tcW w:w="3234" w:type="dxa"/>
            <w:shd w:val="clear" w:color="auto" w:fill="8496B0" w:themeFill="text2" w:themeFillTint="99"/>
            <w:vAlign w:val="center"/>
          </w:tcPr>
          <w:p w14:paraId="443F3E03" w14:textId="77777777" w:rsidR="00801F4F" w:rsidRPr="006343CE" w:rsidRDefault="00801F4F" w:rsidP="00FA0EEC">
            <w:pPr>
              <w:jc w:val="center"/>
              <w:rPr>
                <w:b/>
                <w:color w:val="FFFFFF" w:themeColor="background1"/>
                <w:sz w:val="16"/>
                <w:szCs w:val="16"/>
              </w:rPr>
            </w:pPr>
            <w:r w:rsidRPr="006343CE">
              <w:rPr>
                <w:b/>
                <w:color w:val="FFFFFF" w:themeColor="background1"/>
                <w:sz w:val="16"/>
                <w:szCs w:val="16"/>
              </w:rPr>
              <w:t>Costo standard proposto</w:t>
            </w:r>
          </w:p>
        </w:tc>
        <w:tc>
          <w:tcPr>
            <w:tcW w:w="3234" w:type="dxa"/>
            <w:shd w:val="clear" w:color="auto" w:fill="8496B0" w:themeFill="text2" w:themeFillTint="99"/>
            <w:vAlign w:val="center"/>
          </w:tcPr>
          <w:p w14:paraId="493AD8EC" w14:textId="77777777" w:rsidR="00801F4F" w:rsidRPr="006343CE" w:rsidRDefault="00801F4F" w:rsidP="00FA0EEC">
            <w:pPr>
              <w:jc w:val="center"/>
              <w:rPr>
                <w:b/>
                <w:color w:val="FFFFFF" w:themeColor="background1"/>
                <w:sz w:val="16"/>
                <w:szCs w:val="16"/>
              </w:rPr>
            </w:pPr>
            <w:r w:rsidRPr="006343CE">
              <w:rPr>
                <w:b/>
                <w:color w:val="FFFFFF" w:themeColor="background1"/>
                <w:sz w:val="16"/>
                <w:szCs w:val="16"/>
              </w:rPr>
              <w:t>Costo forfettario</w:t>
            </w:r>
          </w:p>
          <w:p w14:paraId="71A0BBC9" w14:textId="77777777" w:rsidR="00801F4F" w:rsidRPr="006343CE" w:rsidRDefault="00801F4F" w:rsidP="00FA0EEC">
            <w:pPr>
              <w:jc w:val="center"/>
              <w:rPr>
                <w:b/>
                <w:color w:val="FFFFFF" w:themeColor="background1"/>
                <w:sz w:val="16"/>
                <w:szCs w:val="16"/>
              </w:rPr>
            </w:pPr>
            <w:r w:rsidRPr="006343CE">
              <w:rPr>
                <w:b/>
                <w:color w:val="FFFFFF" w:themeColor="background1"/>
                <w:sz w:val="16"/>
                <w:szCs w:val="16"/>
              </w:rPr>
              <w:t>proposto</w:t>
            </w:r>
          </w:p>
        </w:tc>
      </w:tr>
      <w:tr w:rsidR="00801F4F" w:rsidRPr="006343CE" w14:paraId="55615E0C" w14:textId="77777777" w:rsidTr="00FA0EEC">
        <w:trPr>
          <w:trHeight w:val="48"/>
          <w:jc w:val="center"/>
        </w:trPr>
        <w:tc>
          <w:tcPr>
            <w:tcW w:w="3234" w:type="dxa"/>
          </w:tcPr>
          <w:p w14:paraId="43205A8C" w14:textId="77777777" w:rsidR="00801F4F" w:rsidRPr="006343CE" w:rsidRDefault="00801F4F" w:rsidP="00FA0EEC">
            <w:pPr>
              <w:rPr>
                <w:sz w:val="16"/>
                <w:szCs w:val="16"/>
              </w:rPr>
            </w:pPr>
            <w:r w:rsidRPr="006343CE">
              <w:rPr>
                <w:i/>
                <w:sz w:val="16"/>
                <w:szCs w:val="16"/>
              </w:rPr>
              <w:t>Acquisto di strumenti, sistemi e/o servizi per l’avvio di un proprio sito e-commerce</w:t>
            </w:r>
          </w:p>
        </w:tc>
        <w:tc>
          <w:tcPr>
            <w:tcW w:w="3234" w:type="dxa"/>
            <w:vAlign w:val="center"/>
          </w:tcPr>
          <w:p w14:paraId="4B3E7264" w14:textId="77777777" w:rsidR="00801F4F" w:rsidRPr="006343CE" w:rsidRDefault="00801F4F" w:rsidP="00FA0EEC">
            <w:pPr>
              <w:jc w:val="right"/>
              <w:rPr>
                <w:sz w:val="16"/>
                <w:szCs w:val="16"/>
              </w:rPr>
            </w:pPr>
            <w:r w:rsidRPr="006343CE">
              <w:rPr>
                <w:sz w:val="16"/>
                <w:szCs w:val="16"/>
              </w:rPr>
              <w:t>€ 2.000,00/mese</w:t>
            </w:r>
          </w:p>
        </w:tc>
        <w:tc>
          <w:tcPr>
            <w:tcW w:w="3234" w:type="dxa"/>
            <w:vAlign w:val="center"/>
          </w:tcPr>
          <w:p w14:paraId="35B755BF" w14:textId="77777777" w:rsidR="00801F4F" w:rsidRPr="006343CE" w:rsidRDefault="00801F4F" w:rsidP="00FA0EEC">
            <w:pPr>
              <w:jc w:val="right"/>
              <w:rPr>
                <w:sz w:val="16"/>
                <w:szCs w:val="16"/>
              </w:rPr>
            </w:pPr>
            <w:r w:rsidRPr="006343CE">
              <w:rPr>
                <w:sz w:val="16"/>
                <w:szCs w:val="16"/>
              </w:rPr>
              <w:t xml:space="preserve">€ 24.000,00 </w:t>
            </w:r>
          </w:p>
        </w:tc>
      </w:tr>
      <w:tr w:rsidR="00801F4F" w:rsidRPr="006343CE" w14:paraId="266735DF" w14:textId="77777777" w:rsidTr="00FA0EEC">
        <w:trPr>
          <w:trHeight w:val="48"/>
          <w:jc w:val="center"/>
        </w:trPr>
        <w:tc>
          <w:tcPr>
            <w:tcW w:w="3234" w:type="dxa"/>
          </w:tcPr>
          <w:p w14:paraId="1361CE26" w14:textId="77777777" w:rsidR="00801F4F" w:rsidRPr="006343CE" w:rsidRDefault="00801F4F" w:rsidP="00FA0EEC">
            <w:pPr>
              <w:rPr>
                <w:sz w:val="16"/>
                <w:szCs w:val="16"/>
              </w:rPr>
            </w:pPr>
            <w:r w:rsidRPr="006343CE">
              <w:rPr>
                <w:rFonts w:cs="Calibri"/>
                <w:color w:val="000000"/>
                <w:sz w:val="16"/>
                <w:szCs w:val="16"/>
              </w:rPr>
              <w:t>Applicazione riduzione -50% su totale parziale per cofinanziamento impresa</w:t>
            </w:r>
          </w:p>
        </w:tc>
        <w:tc>
          <w:tcPr>
            <w:tcW w:w="3234" w:type="dxa"/>
            <w:vAlign w:val="center"/>
          </w:tcPr>
          <w:p w14:paraId="2A2E4ED7" w14:textId="77777777" w:rsidR="00801F4F" w:rsidRPr="006343CE" w:rsidRDefault="00801F4F" w:rsidP="00FA0EEC">
            <w:pPr>
              <w:jc w:val="right"/>
              <w:rPr>
                <w:sz w:val="16"/>
                <w:szCs w:val="16"/>
              </w:rPr>
            </w:pPr>
            <w:r w:rsidRPr="006343CE">
              <w:rPr>
                <w:sz w:val="16"/>
                <w:szCs w:val="16"/>
              </w:rPr>
              <w:t>€ 1.000,00/mese</w:t>
            </w:r>
          </w:p>
        </w:tc>
        <w:tc>
          <w:tcPr>
            <w:tcW w:w="3234" w:type="dxa"/>
            <w:vAlign w:val="center"/>
          </w:tcPr>
          <w:p w14:paraId="4D934913" w14:textId="77777777" w:rsidR="00801F4F" w:rsidRPr="006343CE" w:rsidRDefault="00801F4F" w:rsidP="00FA0EEC">
            <w:pPr>
              <w:jc w:val="right"/>
              <w:rPr>
                <w:sz w:val="16"/>
                <w:szCs w:val="16"/>
              </w:rPr>
            </w:pPr>
            <w:r w:rsidRPr="006343CE">
              <w:rPr>
                <w:sz w:val="16"/>
                <w:szCs w:val="16"/>
              </w:rPr>
              <w:t>€ 12.000,00</w:t>
            </w:r>
          </w:p>
        </w:tc>
      </w:tr>
      <w:tr w:rsidR="00801F4F" w:rsidRPr="006343CE" w14:paraId="03113A98" w14:textId="77777777" w:rsidTr="00FA0EEC">
        <w:trPr>
          <w:trHeight w:val="460"/>
          <w:jc w:val="center"/>
        </w:trPr>
        <w:tc>
          <w:tcPr>
            <w:tcW w:w="3234" w:type="dxa"/>
            <w:vAlign w:val="center"/>
          </w:tcPr>
          <w:p w14:paraId="608A68ED" w14:textId="77777777" w:rsidR="00801F4F" w:rsidRPr="006343CE" w:rsidRDefault="00801F4F" w:rsidP="00FA0EEC">
            <w:pPr>
              <w:jc w:val="right"/>
              <w:rPr>
                <w:rFonts w:cs="Calibri"/>
                <w:b/>
                <w:color w:val="000000"/>
                <w:sz w:val="16"/>
                <w:szCs w:val="16"/>
              </w:rPr>
            </w:pPr>
            <w:r w:rsidRPr="006343CE">
              <w:rPr>
                <w:rFonts w:cs="Calibri"/>
                <w:b/>
                <w:color w:val="000000"/>
                <w:sz w:val="16"/>
                <w:szCs w:val="16"/>
              </w:rPr>
              <w:t>TOTALE</w:t>
            </w:r>
          </w:p>
        </w:tc>
        <w:tc>
          <w:tcPr>
            <w:tcW w:w="3234" w:type="dxa"/>
            <w:vAlign w:val="center"/>
          </w:tcPr>
          <w:p w14:paraId="38E83FCA" w14:textId="77777777" w:rsidR="00801F4F" w:rsidRPr="006343CE" w:rsidRDefault="00801F4F" w:rsidP="00FA0EEC">
            <w:pPr>
              <w:jc w:val="right"/>
              <w:rPr>
                <w:b/>
                <w:sz w:val="16"/>
                <w:szCs w:val="16"/>
              </w:rPr>
            </w:pPr>
            <w:r w:rsidRPr="006343CE">
              <w:rPr>
                <w:b/>
                <w:sz w:val="16"/>
                <w:szCs w:val="16"/>
              </w:rPr>
              <w:t>€ 1.000,00/mese</w:t>
            </w:r>
          </w:p>
        </w:tc>
        <w:tc>
          <w:tcPr>
            <w:tcW w:w="3234" w:type="dxa"/>
            <w:vAlign w:val="center"/>
          </w:tcPr>
          <w:p w14:paraId="40E3ED3E" w14:textId="77777777" w:rsidR="00801F4F" w:rsidRPr="006343CE" w:rsidRDefault="00801F4F" w:rsidP="00FA0EEC">
            <w:pPr>
              <w:keepNext/>
              <w:jc w:val="right"/>
              <w:rPr>
                <w:b/>
                <w:sz w:val="16"/>
                <w:szCs w:val="16"/>
              </w:rPr>
            </w:pPr>
            <w:r w:rsidRPr="006343CE">
              <w:rPr>
                <w:b/>
                <w:sz w:val="16"/>
                <w:szCs w:val="16"/>
              </w:rPr>
              <w:t>€ 12.000,00</w:t>
            </w:r>
          </w:p>
        </w:tc>
      </w:tr>
    </w:tbl>
    <w:p w14:paraId="2ABCFE11" w14:textId="77777777" w:rsidR="00801F4F" w:rsidRDefault="00801F4F" w:rsidP="00801F4F"/>
    <w:p w14:paraId="21E115F1" w14:textId="10AF28CD" w:rsidR="00801F4F" w:rsidRPr="0055655F" w:rsidRDefault="00801F4F" w:rsidP="00801F4F">
      <w:r w:rsidRPr="0055655F">
        <w:t xml:space="preserve">Pertanto, il valore del costo standard proposto, con l’applicazione dello sconto riferito alla quota di cofinanziamento del 50% da parte dell’impresa istante, sarebbe pari a € 1.000,00/mese per un massimo di 12 mesi mentre relativamente alla somma forfettaria individuata si avrebbe l’assegnazione automatica dell’importo di € 12.000,00 per un progetto personalizzato di almeno n. 12 mesi. </w:t>
      </w:r>
    </w:p>
    <w:p w14:paraId="531395EB" w14:textId="77777777" w:rsidR="00801F4F" w:rsidRPr="0055655F" w:rsidRDefault="00801F4F" w:rsidP="00801F4F">
      <w:r w:rsidRPr="0055655F">
        <w:t>Nel caso di specie non si applica il coefficiente di adattamento dei costi (+10%) in quanto il loro valore è riferito ai prezzi attualmente praticati dai fornitori di servizi considerati.</w:t>
      </w:r>
    </w:p>
    <w:p w14:paraId="316B2A45" w14:textId="77777777" w:rsidR="00801F4F" w:rsidRPr="0055655F" w:rsidRDefault="00801F4F" w:rsidP="00801F4F">
      <w:r w:rsidRPr="0055655F">
        <w:t xml:space="preserve">La specifica attività ed i relativi valori ricadono all’interno di un </w:t>
      </w:r>
      <w:r w:rsidRPr="0055655F">
        <w:rPr>
          <w:i/>
        </w:rPr>
        <w:t>range</w:t>
      </w:r>
      <w:r w:rsidRPr="0055655F">
        <w:t xml:space="preserve"> di costo che, così come riportato nella tabella di riferimento, risulta essere molto ampia e soggetta ad un insieme di fattori difficilmente standardizzabili. Pertanto, con riferimento all’acquisizione di “documentazione adeguata”, sarebbe necessario in primo luogo cercare di circoscrivere ed individuare l’insieme degli elementi necessari per dare vita ad una piattaforma e-commerce in grado di proporre e vendere prodotti e/o servizi sui mercati esteri. In secondo luogo, andrebbero raccolti, sulla base di questi elementi, un numero significativo di preventivi presentati dalle diverse aziende fornitrici di servizi in modo da definire valori di costo più circoscritti e, di conseguenza, valori più significativi di costo standard e di somma forfettaria da applicare all’attività dell’Avviso.</w:t>
      </w:r>
    </w:p>
    <w:p w14:paraId="774160FF" w14:textId="77777777" w:rsidR="00801F4F" w:rsidRPr="00852B05" w:rsidRDefault="00801F4F" w:rsidP="00801F4F">
      <w:pPr>
        <w:spacing w:after="120"/>
      </w:pPr>
      <w:r w:rsidRPr="0055655F">
        <w:t>Con riferimento all’attività C2 “Acquisto di strumenti, sistemi e/o servizi per la creazione di una propria vetrina sui marketplace attivi sui mercati esteri” l’attività di indagine, in questa prima fase, si è concentrata nell’acquisizione e analisi dei tariffari proposti da una selezione dei maggiori marketplace a livello internazionale (Amazon, eBay, ePrice, Spartoo). Dalla valutazione dei tariffari pubblicati sui rispettivi marketplace viene definito il seguente schema:</w:t>
      </w:r>
    </w:p>
    <w:tbl>
      <w:tblPr>
        <w:tblStyle w:val="Grigliatabella"/>
        <w:tblW w:w="0" w:type="auto"/>
        <w:tblBorders>
          <w:top w:val="single" w:sz="8" w:space="0" w:color="1F3864" w:themeColor="accent1" w:themeShade="80"/>
          <w:left w:val="single" w:sz="8" w:space="0" w:color="1F3864" w:themeColor="accent1" w:themeShade="80"/>
          <w:bottom w:val="single" w:sz="8" w:space="0" w:color="1F3864" w:themeColor="accent1" w:themeShade="80"/>
          <w:right w:val="single" w:sz="8" w:space="0" w:color="1F3864" w:themeColor="accent1" w:themeShade="80"/>
          <w:insideH w:val="single" w:sz="8" w:space="0" w:color="1F3864" w:themeColor="accent1" w:themeShade="80"/>
          <w:insideV w:val="single" w:sz="8" w:space="0" w:color="1F3864" w:themeColor="accent1" w:themeShade="80"/>
        </w:tblBorders>
        <w:tblLook w:val="04A0" w:firstRow="1" w:lastRow="0" w:firstColumn="1" w:lastColumn="0" w:noHBand="0" w:noVBand="1"/>
      </w:tblPr>
      <w:tblGrid>
        <w:gridCol w:w="1210"/>
        <w:gridCol w:w="1724"/>
        <w:gridCol w:w="1651"/>
        <w:gridCol w:w="1236"/>
        <w:gridCol w:w="1064"/>
        <w:gridCol w:w="1380"/>
        <w:gridCol w:w="1353"/>
      </w:tblGrid>
      <w:tr w:rsidR="00801F4F" w:rsidRPr="006E5276" w14:paraId="5C20F741" w14:textId="77777777" w:rsidTr="00FA0EEC">
        <w:tc>
          <w:tcPr>
            <w:tcW w:w="1242" w:type="dxa"/>
            <w:tcBorders>
              <w:right w:val="nil"/>
            </w:tcBorders>
            <w:shd w:val="clear" w:color="auto" w:fill="2F5496" w:themeFill="accent1" w:themeFillShade="BF"/>
            <w:vAlign w:val="center"/>
          </w:tcPr>
          <w:p w14:paraId="2232FEDD" w14:textId="77777777" w:rsidR="00801F4F" w:rsidRPr="006E5276" w:rsidRDefault="00801F4F" w:rsidP="00FA0EEC">
            <w:pPr>
              <w:jc w:val="center"/>
              <w:rPr>
                <w:b/>
                <w:color w:val="FFFFFF" w:themeColor="background1"/>
                <w:sz w:val="16"/>
                <w:szCs w:val="16"/>
              </w:rPr>
            </w:pPr>
            <w:r w:rsidRPr="006E5276">
              <w:rPr>
                <w:b/>
                <w:color w:val="FFFFFF" w:themeColor="background1"/>
                <w:sz w:val="16"/>
                <w:szCs w:val="16"/>
              </w:rPr>
              <w:t>Marketplace</w:t>
            </w:r>
          </w:p>
        </w:tc>
        <w:tc>
          <w:tcPr>
            <w:tcW w:w="1843" w:type="dxa"/>
            <w:tcBorders>
              <w:left w:val="nil"/>
              <w:right w:val="nil"/>
            </w:tcBorders>
            <w:shd w:val="clear" w:color="auto" w:fill="2F5496" w:themeFill="accent1" w:themeFillShade="BF"/>
            <w:vAlign w:val="center"/>
          </w:tcPr>
          <w:p w14:paraId="1968313D" w14:textId="77777777" w:rsidR="00801F4F" w:rsidRPr="006E5276" w:rsidRDefault="00801F4F" w:rsidP="00FA0EEC">
            <w:pPr>
              <w:jc w:val="center"/>
              <w:rPr>
                <w:b/>
                <w:color w:val="FFFFFF" w:themeColor="background1"/>
                <w:sz w:val="16"/>
                <w:szCs w:val="16"/>
              </w:rPr>
            </w:pPr>
            <w:r w:rsidRPr="006E5276">
              <w:rPr>
                <w:b/>
                <w:color w:val="FFFFFF" w:themeColor="background1"/>
                <w:sz w:val="16"/>
                <w:szCs w:val="16"/>
              </w:rPr>
              <w:t xml:space="preserve">Importo abbonamento mensile per un account professionale </w:t>
            </w:r>
          </w:p>
          <w:p w14:paraId="4D35B98A" w14:textId="77777777" w:rsidR="00801F4F" w:rsidRPr="006E5276" w:rsidRDefault="00801F4F" w:rsidP="00FA0EEC">
            <w:pPr>
              <w:jc w:val="center"/>
              <w:rPr>
                <w:b/>
                <w:color w:val="FFFFFF" w:themeColor="background1"/>
                <w:sz w:val="16"/>
                <w:szCs w:val="16"/>
              </w:rPr>
            </w:pPr>
            <w:r w:rsidRPr="006E5276">
              <w:rPr>
                <w:b/>
                <w:color w:val="FFFFFF" w:themeColor="background1"/>
                <w:sz w:val="16"/>
                <w:szCs w:val="16"/>
              </w:rPr>
              <w:t>(Iva esclusa)</w:t>
            </w:r>
          </w:p>
        </w:tc>
        <w:tc>
          <w:tcPr>
            <w:tcW w:w="1701" w:type="dxa"/>
            <w:tcBorders>
              <w:left w:val="nil"/>
              <w:right w:val="nil"/>
            </w:tcBorders>
            <w:shd w:val="clear" w:color="auto" w:fill="2F5496" w:themeFill="accent1" w:themeFillShade="BF"/>
            <w:vAlign w:val="center"/>
          </w:tcPr>
          <w:p w14:paraId="211BCECF" w14:textId="77777777" w:rsidR="00801F4F" w:rsidRPr="006E5276" w:rsidRDefault="00801F4F" w:rsidP="00FA0EEC">
            <w:pPr>
              <w:jc w:val="center"/>
              <w:rPr>
                <w:b/>
                <w:color w:val="FFFFFF" w:themeColor="background1"/>
                <w:sz w:val="16"/>
                <w:szCs w:val="16"/>
              </w:rPr>
            </w:pPr>
            <w:r w:rsidRPr="006E5276">
              <w:rPr>
                <w:b/>
                <w:color w:val="FFFFFF" w:themeColor="background1"/>
                <w:sz w:val="16"/>
                <w:szCs w:val="16"/>
              </w:rPr>
              <w:t>Provvigioni omnicomprensive applicate alle vendite di importo medio pari a € 5.000,00/mese</w:t>
            </w:r>
          </w:p>
        </w:tc>
        <w:tc>
          <w:tcPr>
            <w:tcW w:w="1276" w:type="dxa"/>
            <w:tcBorders>
              <w:left w:val="nil"/>
              <w:right w:val="nil"/>
            </w:tcBorders>
            <w:shd w:val="clear" w:color="auto" w:fill="2F5496" w:themeFill="accent1" w:themeFillShade="BF"/>
            <w:vAlign w:val="center"/>
          </w:tcPr>
          <w:p w14:paraId="42D98F59" w14:textId="77777777" w:rsidR="00801F4F" w:rsidRPr="006E5276" w:rsidRDefault="00801F4F" w:rsidP="00FA0EEC">
            <w:pPr>
              <w:jc w:val="center"/>
              <w:rPr>
                <w:b/>
                <w:color w:val="FFFFFF" w:themeColor="background1"/>
                <w:sz w:val="16"/>
                <w:szCs w:val="16"/>
              </w:rPr>
            </w:pPr>
            <w:r w:rsidRPr="006E5276">
              <w:rPr>
                <w:b/>
                <w:color w:val="FFFFFF" w:themeColor="background1"/>
                <w:sz w:val="16"/>
                <w:szCs w:val="16"/>
              </w:rPr>
              <w:t>Costo progetto di integrazione (SaaS)</w:t>
            </w:r>
          </w:p>
        </w:tc>
        <w:tc>
          <w:tcPr>
            <w:tcW w:w="1134" w:type="dxa"/>
            <w:tcBorders>
              <w:left w:val="nil"/>
              <w:right w:val="nil"/>
            </w:tcBorders>
            <w:shd w:val="clear" w:color="auto" w:fill="2F5496" w:themeFill="accent1" w:themeFillShade="BF"/>
            <w:vAlign w:val="center"/>
          </w:tcPr>
          <w:p w14:paraId="2F5D335B" w14:textId="77777777" w:rsidR="00801F4F" w:rsidRPr="006E5276" w:rsidRDefault="00801F4F" w:rsidP="00FA0EEC">
            <w:pPr>
              <w:jc w:val="center"/>
              <w:rPr>
                <w:b/>
                <w:color w:val="FFFFFF" w:themeColor="background1"/>
                <w:sz w:val="16"/>
                <w:szCs w:val="16"/>
              </w:rPr>
            </w:pPr>
            <w:r w:rsidRPr="006E5276">
              <w:rPr>
                <w:b/>
                <w:color w:val="FFFFFF" w:themeColor="background1"/>
                <w:sz w:val="16"/>
                <w:szCs w:val="16"/>
              </w:rPr>
              <w:t>TOTALE</w:t>
            </w:r>
          </w:p>
        </w:tc>
        <w:tc>
          <w:tcPr>
            <w:tcW w:w="1417" w:type="dxa"/>
            <w:tcBorders>
              <w:left w:val="nil"/>
              <w:right w:val="nil"/>
            </w:tcBorders>
            <w:shd w:val="clear" w:color="auto" w:fill="2F5496" w:themeFill="accent1" w:themeFillShade="BF"/>
            <w:vAlign w:val="center"/>
          </w:tcPr>
          <w:p w14:paraId="258804B9" w14:textId="77777777" w:rsidR="00801F4F" w:rsidRPr="006E5276" w:rsidRDefault="00801F4F" w:rsidP="00FA0EEC">
            <w:pPr>
              <w:jc w:val="center"/>
              <w:rPr>
                <w:b/>
                <w:color w:val="FFFFFF" w:themeColor="background1"/>
                <w:sz w:val="16"/>
                <w:szCs w:val="16"/>
              </w:rPr>
            </w:pPr>
            <w:r w:rsidRPr="006E5276">
              <w:rPr>
                <w:b/>
                <w:color w:val="FFFFFF" w:themeColor="background1"/>
                <w:sz w:val="16"/>
                <w:szCs w:val="16"/>
              </w:rPr>
              <w:t>Valore medio mensile per singolo marketplace</w:t>
            </w:r>
          </w:p>
        </w:tc>
        <w:tc>
          <w:tcPr>
            <w:tcW w:w="1417" w:type="dxa"/>
            <w:tcBorders>
              <w:left w:val="nil"/>
            </w:tcBorders>
            <w:shd w:val="clear" w:color="auto" w:fill="2F5496" w:themeFill="accent1" w:themeFillShade="BF"/>
            <w:vAlign w:val="center"/>
          </w:tcPr>
          <w:p w14:paraId="6E29FECD" w14:textId="77777777" w:rsidR="00801F4F" w:rsidRPr="006E5276" w:rsidRDefault="00801F4F" w:rsidP="00FA0EEC">
            <w:pPr>
              <w:jc w:val="center"/>
              <w:rPr>
                <w:b/>
                <w:color w:val="FFFFFF" w:themeColor="background1"/>
                <w:sz w:val="16"/>
                <w:szCs w:val="16"/>
              </w:rPr>
            </w:pPr>
            <w:r w:rsidRPr="006E5276">
              <w:rPr>
                <w:b/>
                <w:color w:val="FFFFFF" w:themeColor="background1"/>
                <w:sz w:val="16"/>
                <w:szCs w:val="16"/>
              </w:rPr>
              <w:t>Valore medio annuale per singolo marketplace</w:t>
            </w:r>
          </w:p>
        </w:tc>
      </w:tr>
      <w:tr w:rsidR="00801F4F" w:rsidRPr="006E5276" w14:paraId="45F7F8F2" w14:textId="77777777" w:rsidTr="00FA0EEC">
        <w:tc>
          <w:tcPr>
            <w:tcW w:w="1242" w:type="dxa"/>
          </w:tcPr>
          <w:p w14:paraId="77BA7152" w14:textId="77777777" w:rsidR="00801F4F" w:rsidRPr="006E5276" w:rsidRDefault="00801F4F" w:rsidP="00FA0EEC">
            <w:pPr>
              <w:rPr>
                <w:sz w:val="16"/>
                <w:szCs w:val="16"/>
              </w:rPr>
            </w:pPr>
            <w:r w:rsidRPr="006E5276">
              <w:rPr>
                <w:sz w:val="16"/>
                <w:szCs w:val="16"/>
              </w:rPr>
              <w:t>Amazon</w:t>
            </w:r>
          </w:p>
        </w:tc>
        <w:tc>
          <w:tcPr>
            <w:tcW w:w="1843" w:type="dxa"/>
          </w:tcPr>
          <w:p w14:paraId="469A4888" w14:textId="77777777" w:rsidR="00801F4F" w:rsidRPr="006E5276" w:rsidRDefault="00801F4F" w:rsidP="00FA0EEC">
            <w:pPr>
              <w:jc w:val="center"/>
              <w:rPr>
                <w:sz w:val="16"/>
                <w:szCs w:val="16"/>
              </w:rPr>
            </w:pPr>
            <w:r w:rsidRPr="006E5276">
              <w:rPr>
                <w:sz w:val="16"/>
                <w:szCs w:val="16"/>
              </w:rPr>
              <w:t>39,00</w:t>
            </w:r>
          </w:p>
        </w:tc>
        <w:tc>
          <w:tcPr>
            <w:tcW w:w="1701" w:type="dxa"/>
          </w:tcPr>
          <w:p w14:paraId="27DD590F" w14:textId="77777777" w:rsidR="00801F4F" w:rsidRPr="006E5276" w:rsidRDefault="00801F4F" w:rsidP="00FA0EEC">
            <w:pPr>
              <w:jc w:val="center"/>
              <w:rPr>
                <w:sz w:val="16"/>
                <w:szCs w:val="16"/>
              </w:rPr>
            </w:pPr>
            <w:r w:rsidRPr="006E5276">
              <w:rPr>
                <w:sz w:val="16"/>
                <w:szCs w:val="16"/>
              </w:rPr>
              <w:t>10%</w:t>
            </w:r>
          </w:p>
        </w:tc>
        <w:tc>
          <w:tcPr>
            <w:tcW w:w="1276" w:type="dxa"/>
            <w:vMerge w:val="restart"/>
            <w:vAlign w:val="center"/>
          </w:tcPr>
          <w:p w14:paraId="71AE4B25" w14:textId="77777777" w:rsidR="00801F4F" w:rsidRPr="006E5276" w:rsidRDefault="00801F4F" w:rsidP="00FA0EEC">
            <w:pPr>
              <w:jc w:val="center"/>
              <w:rPr>
                <w:sz w:val="16"/>
                <w:szCs w:val="16"/>
              </w:rPr>
            </w:pPr>
            <w:r w:rsidRPr="006E5276">
              <w:rPr>
                <w:sz w:val="16"/>
                <w:szCs w:val="16"/>
              </w:rPr>
              <w:t>29€/mese</w:t>
            </w:r>
          </w:p>
        </w:tc>
        <w:tc>
          <w:tcPr>
            <w:tcW w:w="1134" w:type="dxa"/>
            <w:vAlign w:val="center"/>
          </w:tcPr>
          <w:p w14:paraId="4685BB35" w14:textId="77777777" w:rsidR="00801F4F" w:rsidRPr="006E5276" w:rsidRDefault="00801F4F" w:rsidP="00FA0EEC">
            <w:pPr>
              <w:jc w:val="center"/>
              <w:rPr>
                <w:sz w:val="16"/>
                <w:szCs w:val="16"/>
              </w:rPr>
            </w:pPr>
            <w:r w:rsidRPr="006E5276">
              <w:rPr>
                <w:sz w:val="16"/>
                <w:szCs w:val="16"/>
              </w:rPr>
              <w:t>€ 568,00</w:t>
            </w:r>
          </w:p>
        </w:tc>
        <w:tc>
          <w:tcPr>
            <w:tcW w:w="1417" w:type="dxa"/>
            <w:vMerge w:val="restart"/>
            <w:vAlign w:val="center"/>
          </w:tcPr>
          <w:p w14:paraId="136BC855" w14:textId="77777777" w:rsidR="00801F4F" w:rsidRPr="006E5276" w:rsidRDefault="00801F4F" w:rsidP="00FA0EEC">
            <w:pPr>
              <w:jc w:val="center"/>
              <w:rPr>
                <w:sz w:val="16"/>
                <w:szCs w:val="16"/>
              </w:rPr>
            </w:pPr>
            <w:r w:rsidRPr="006E5276">
              <w:rPr>
                <w:sz w:val="16"/>
                <w:szCs w:val="16"/>
              </w:rPr>
              <w:t>549,22</w:t>
            </w:r>
          </w:p>
        </w:tc>
        <w:tc>
          <w:tcPr>
            <w:tcW w:w="1417" w:type="dxa"/>
            <w:vMerge w:val="restart"/>
            <w:vAlign w:val="center"/>
          </w:tcPr>
          <w:p w14:paraId="28F123D2" w14:textId="77777777" w:rsidR="00801F4F" w:rsidRPr="006E5276" w:rsidRDefault="00801F4F" w:rsidP="00FA0EEC">
            <w:pPr>
              <w:jc w:val="center"/>
              <w:rPr>
                <w:sz w:val="16"/>
                <w:szCs w:val="16"/>
              </w:rPr>
            </w:pPr>
            <w:r w:rsidRPr="006E5276">
              <w:rPr>
                <w:sz w:val="16"/>
                <w:szCs w:val="16"/>
              </w:rPr>
              <w:t>6.588,00</w:t>
            </w:r>
          </w:p>
        </w:tc>
      </w:tr>
      <w:tr w:rsidR="00801F4F" w:rsidRPr="006E5276" w14:paraId="53D375D9" w14:textId="77777777" w:rsidTr="00FA0EEC">
        <w:tc>
          <w:tcPr>
            <w:tcW w:w="1242" w:type="dxa"/>
          </w:tcPr>
          <w:p w14:paraId="55162498" w14:textId="77777777" w:rsidR="00801F4F" w:rsidRPr="006E5276" w:rsidRDefault="00801F4F" w:rsidP="00FA0EEC">
            <w:pPr>
              <w:rPr>
                <w:sz w:val="16"/>
                <w:szCs w:val="16"/>
              </w:rPr>
            </w:pPr>
            <w:r w:rsidRPr="006E5276">
              <w:rPr>
                <w:sz w:val="16"/>
                <w:szCs w:val="16"/>
              </w:rPr>
              <w:t>eBay</w:t>
            </w:r>
          </w:p>
        </w:tc>
        <w:tc>
          <w:tcPr>
            <w:tcW w:w="1843" w:type="dxa"/>
          </w:tcPr>
          <w:p w14:paraId="4D86BC66" w14:textId="77777777" w:rsidR="00801F4F" w:rsidRPr="006E5276" w:rsidRDefault="00801F4F" w:rsidP="00FA0EEC">
            <w:pPr>
              <w:jc w:val="center"/>
              <w:rPr>
                <w:sz w:val="16"/>
                <w:szCs w:val="16"/>
              </w:rPr>
            </w:pPr>
            <w:r w:rsidRPr="006E5276">
              <w:rPr>
                <w:sz w:val="16"/>
                <w:szCs w:val="16"/>
              </w:rPr>
              <w:t>33,91</w:t>
            </w:r>
          </w:p>
        </w:tc>
        <w:tc>
          <w:tcPr>
            <w:tcW w:w="1701" w:type="dxa"/>
          </w:tcPr>
          <w:p w14:paraId="44F68572" w14:textId="77777777" w:rsidR="00801F4F" w:rsidRPr="006E5276" w:rsidRDefault="00801F4F" w:rsidP="00FA0EEC">
            <w:pPr>
              <w:jc w:val="center"/>
              <w:rPr>
                <w:sz w:val="16"/>
                <w:szCs w:val="16"/>
              </w:rPr>
            </w:pPr>
            <w:r w:rsidRPr="006E5276">
              <w:rPr>
                <w:sz w:val="16"/>
                <w:szCs w:val="16"/>
              </w:rPr>
              <w:t>11%</w:t>
            </w:r>
          </w:p>
        </w:tc>
        <w:tc>
          <w:tcPr>
            <w:tcW w:w="1276" w:type="dxa"/>
            <w:vMerge/>
          </w:tcPr>
          <w:p w14:paraId="406A51F0" w14:textId="77777777" w:rsidR="00801F4F" w:rsidRPr="006E5276" w:rsidRDefault="00801F4F" w:rsidP="00FA0EEC">
            <w:pPr>
              <w:rPr>
                <w:sz w:val="16"/>
                <w:szCs w:val="16"/>
              </w:rPr>
            </w:pPr>
          </w:p>
        </w:tc>
        <w:tc>
          <w:tcPr>
            <w:tcW w:w="1134" w:type="dxa"/>
            <w:vAlign w:val="center"/>
          </w:tcPr>
          <w:p w14:paraId="49D630C4" w14:textId="77777777" w:rsidR="00801F4F" w:rsidRPr="006E5276" w:rsidRDefault="00801F4F" w:rsidP="00FA0EEC">
            <w:pPr>
              <w:jc w:val="center"/>
              <w:rPr>
                <w:sz w:val="16"/>
                <w:szCs w:val="16"/>
              </w:rPr>
            </w:pPr>
            <w:r w:rsidRPr="006E5276">
              <w:rPr>
                <w:sz w:val="16"/>
                <w:szCs w:val="16"/>
              </w:rPr>
              <w:t>€ 612,91</w:t>
            </w:r>
          </w:p>
        </w:tc>
        <w:tc>
          <w:tcPr>
            <w:tcW w:w="1417" w:type="dxa"/>
            <w:vMerge/>
          </w:tcPr>
          <w:p w14:paraId="39199B1B" w14:textId="77777777" w:rsidR="00801F4F" w:rsidRPr="006E5276" w:rsidRDefault="00801F4F" w:rsidP="00FA0EEC">
            <w:pPr>
              <w:jc w:val="center"/>
              <w:rPr>
                <w:sz w:val="16"/>
                <w:szCs w:val="16"/>
              </w:rPr>
            </w:pPr>
          </w:p>
        </w:tc>
        <w:tc>
          <w:tcPr>
            <w:tcW w:w="1417" w:type="dxa"/>
            <w:vMerge/>
          </w:tcPr>
          <w:p w14:paraId="266034B9" w14:textId="77777777" w:rsidR="00801F4F" w:rsidRPr="006E5276" w:rsidRDefault="00801F4F" w:rsidP="00FA0EEC">
            <w:pPr>
              <w:jc w:val="center"/>
              <w:rPr>
                <w:sz w:val="16"/>
                <w:szCs w:val="16"/>
              </w:rPr>
            </w:pPr>
          </w:p>
        </w:tc>
      </w:tr>
      <w:tr w:rsidR="00801F4F" w:rsidRPr="006E5276" w14:paraId="32DF807C" w14:textId="77777777" w:rsidTr="00FA0EEC">
        <w:tc>
          <w:tcPr>
            <w:tcW w:w="1242" w:type="dxa"/>
          </w:tcPr>
          <w:p w14:paraId="725CDB19" w14:textId="77777777" w:rsidR="00801F4F" w:rsidRPr="006E5276" w:rsidRDefault="00801F4F" w:rsidP="00FA0EEC">
            <w:pPr>
              <w:rPr>
                <w:sz w:val="16"/>
                <w:szCs w:val="16"/>
              </w:rPr>
            </w:pPr>
            <w:r w:rsidRPr="006E5276">
              <w:rPr>
                <w:sz w:val="16"/>
                <w:szCs w:val="16"/>
              </w:rPr>
              <w:t>ePrice</w:t>
            </w:r>
          </w:p>
        </w:tc>
        <w:tc>
          <w:tcPr>
            <w:tcW w:w="1843" w:type="dxa"/>
          </w:tcPr>
          <w:p w14:paraId="6F4E430B" w14:textId="77777777" w:rsidR="00801F4F" w:rsidRPr="006E5276" w:rsidRDefault="00801F4F" w:rsidP="00FA0EEC">
            <w:pPr>
              <w:jc w:val="center"/>
              <w:rPr>
                <w:sz w:val="16"/>
                <w:szCs w:val="16"/>
              </w:rPr>
            </w:pPr>
            <w:r w:rsidRPr="006E5276">
              <w:rPr>
                <w:sz w:val="16"/>
                <w:szCs w:val="16"/>
              </w:rPr>
              <w:t>29,00</w:t>
            </w:r>
          </w:p>
        </w:tc>
        <w:tc>
          <w:tcPr>
            <w:tcW w:w="1701" w:type="dxa"/>
          </w:tcPr>
          <w:p w14:paraId="286EEBAB" w14:textId="77777777" w:rsidR="00801F4F" w:rsidRPr="006E5276" w:rsidRDefault="00801F4F" w:rsidP="00FA0EEC">
            <w:pPr>
              <w:jc w:val="center"/>
              <w:rPr>
                <w:sz w:val="16"/>
                <w:szCs w:val="16"/>
              </w:rPr>
            </w:pPr>
            <w:r w:rsidRPr="006E5276">
              <w:rPr>
                <w:sz w:val="16"/>
                <w:szCs w:val="16"/>
              </w:rPr>
              <w:t>8%</w:t>
            </w:r>
          </w:p>
        </w:tc>
        <w:tc>
          <w:tcPr>
            <w:tcW w:w="1276" w:type="dxa"/>
            <w:vMerge/>
          </w:tcPr>
          <w:p w14:paraId="4253BD89" w14:textId="77777777" w:rsidR="00801F4F" w:rsidRPr="006E5276" w:rsidRDefault="00801F4F" w:rsidP="00FA0EEC">
            <w:pPr>
              <w:rPr>
                <w:sz w:val="16"/>
                <w:szCs w:val="16"/>
              </w:rPr>
            </w:pPr>
          </w:p>
        </w:tc>
        <w:tc>
          <w:tcPr>
            <w:tcW w:w="1134" w:type="dxa"/>
            <w:vAlign w:val="center"/>
          </w:tcPr>
          <w:p w14:paraId="219B1660" w14:textId="77777777" w:rsidR="00801F4F" w:rsidRPr="006E5276" w:rsidRDefault="00801F4F" w:rsidP="00FA0EEC">
            <w:pPr>
              <w:jc w:val="center"/>
              <w:rPr>
                <w:sz w:val="16"/>
                <w:szCs w:val="16"/>
              </w:rPr>
            </w:pPr>
            <w:r w:rsidRPr="006E5276">
              <w:rPr>
                <w:sz w:val="16"/>
                <w:szCs w:val="16"/>
              </w:rPr>
              <w:t>€ 458,00</w:t>
            </w:r>
          </w:p>
        </w:tc>
        <w:tc>
          <w:tcPr>
            <w:tcW w:w="1417" w:type="dxa"/>
            <w:vMerge/>
          </w:tcPr>
          <w:p w14:paraId="55B6200A" w14:textId="77777777" w:rsidR="00801F4F" w:rsidRPr="006E5276" w:rsidRDefault="00801F4F" w:rsidP="00FA0EEC">
            <w:pPr>
              <w:jc w:val="center"/>
              <w:rPr>
                <w:sz w:val="16"/>
                <w:szCs w:val="16"/>
              </w:rPr>
            </w:pPr>
          </w:p>
        </w:tc>
        <w:tc>
          <w:tcPr>
            <w:tcW w:w="1417" w:type="dxa"/>
            <w:vMerge/>
          </w:tcPr>
          <w:p w14:paraId="46F7FE31" w14:textId="77777777" w:rsidR="00801F4F" w:rsidRPr="006E5276" w:rsidRDefault="00801F4F" w:rsidP="00FA0EEC">
            <w:pPr>
              <w:jc w:val="center"/>
              <w:rPr>
                <w:sz w:val="16"/>
                <w:szCs w:val="16"/>
              </w:rPr>
            </w:pPr>
          </w:p>
        </w:tc>
      </w:tr>
      <w:tr w:rsidR="00801F4F" w:rsidRPr="006E5276" w14:paraId="285D4EB6" w14:textId="77777777" w:rsidTr="00FA0EEC">
        <w:tc>
          <w:tcPr>
            <w:tcW w:w="1242" w:type="dxa"/>
          </w:tcPr>
          <w:p w14:paraId="4350D0FD" w14:textId="77777777" w:rsidR="00801F4F" w:rsidRPr="006E5276" w:rsidRDefault="00801F4F" w:rsidP="00FA0EEC">
            <w:pPr>
              <w:rPr>
                <w:sz w:val="16"/>
                <w:szCs w:val="16"/>
              </w:rPr>
            </w:pPr>
            <w:r w:rsidRPr="006E5276">
              <w:rPr>
                <w:sz w:val="16"/>
                <w:szCs w:val="16"/>
              </w:rPr>
              <w:t>Spartoo</w:t>
            </w:r>
          </w:p>
        </w:tc>
        <w:tc>
          <w:tcPr>
            <w:tcW w:w="1843" w:type="dxa"/>
          </w:tcPr>
          <w:p w14:paraId="0E6E5FBE" w14:textId="77777777" w:rsidR="00801F4F" w:rsidRPr="006E5276" w:rsidRDefault="00801F4F" w:rsidP="00FA0EEC">
            <w:pPr>
              <w:jc w:val="center"/>
              <w:rPr>
                <w:sz w:val="16"/>
                <w:szCs w:val="16"/>
              </w:rPr>
            </w:pPr>
            <w:r w:rsidRPr="006E5276">
              <w:rPr>
                <w:sz w:val="16"/>
                <w:szCs w:val="16"/>
              </w:rPr>
              <w:t>29,00</w:t>
            </w:r>
          </w:p>
        </w:tc>
        <w:tc>
          <w:tcPr>
            <w:tcW w:w="1701" w:type="dxa"/>
          </w:tcPr>
          <w:p w14:paraId="3B5BA9BB" w14:textId="77777777" w:rsidR="00801F4F" w:rsidRPr="006E5276" w:rsidRDefault="00801F4F" w:rsidP="00FA0EEC">
            <w:pPr>
              <w:jc w:val="center"/>
              <w:rPr>
                <w:sz w:val="16"/>
                <w:szCs w:val="16"/>
              </w:rPr>
            </w:pPr>
            <w:r w:rsidRPr="006E5276">
              <w:rPr>
                <w:sz w:val="16"/>
                <w:szCs w:val="16"/>
              </w:rPr>
              <w:t>10%</w:t>
            </w:r>
          </w:p>
        </w:tc>
        <w:tc>
          <w:tcPr>
            <w:tcW w:w="1276" w:type="dxa"/>
            <w:vMerge/>
          </w:tcPr>
          <w:p w14:paraId="468B3D21" w14:textId="77777777" w:rsidR="00801F4F" w:rsidRPr="006E5276" w:rsidRDefault="00801F4F" w:rsidP="00FA0EEC">
            <w:pPr>
              <w:rPr>
                <w:sz w:val="16"/>
                <w:szCs w:val="16"/>
              </w:rPr>
            </w:pPr>
          </w:p>
        </w:tc>
        <w:tc>
          <w:tcPr>
            <w:tcW w:w="1134" w:type="dxa"/>
            <w:vAlign w:val="center"/>
          </w:tcPr>
          <w:p w14:paraId="66B4FECA" w14:textId="77777777" w:rsidR="00801F4F" w:rsidRPr="006E5276" w:rsidRDefault="00801F4F" w:rsidP="00FA0EEC">
            <w:pPr>
              <w:jc w:val="center"/>
              <w:rPr>
                <w:sz w:val="16"/>
                <w:szCs w:val="16"/>
              </w:rPr>
            </w:pPr>
            <w:r w:rsidRPr="006E5276">
              <w:rPr>
                <w:sz w:val="16"/>
                <w:szCs w:val="16"/>
              </w:rPr>
              <w:t>€ 558,00</w:t>
            </w:r>
          </w:p>
        </w:tc>
        <w:tc>
          <w:tcPr>
            <w:tcW w:w="1417" w:type="dxa"/>
            <w:vMerge/>
          </w:tcPr>
          <w:p w14:paraId="489F897D" w14:textId="77777777" w:rsidR="00801F4F" w:rsidRPr="006E5276" w:rsidRDefault="00801F4F" w:rsidP="00FA0EEC">
            <w:pPr>
              <w:jc w:val="center"/>
              <w:rPr>
                <w:sz w:val="16"/>
                <w:szCs w:val="16"/>
              </w:rPr>
            </w:pPr>
          </w:p>
        </w:tc>
        <w:tc>
          <w:tcPr>
            <w:tcW w:w="1417" w:type="dxa"/>
            <w:vMerge/>
          </w:tcPr>
          <w:p w14:paraId="2B6A4EC9" w14:textId="77777777" w:rsidR="00801F4F" w:rsidRPr="006E5276" w:rsidRDefault="00801F4F" w:rsidP="00FA0EEC">
            <w:pPr>
              <w:jc w:val="center"/>
              <w:rPr>
                <w:sz w:val="16"/>
                <w:szCs w:val="16"/>
              </w:rPr>
            </w:pPr>
          </w:p>
        </w:tc>
      </w:tr>
      <w:tr w:rsidR="00801F4F" w:rsidRPr="006E5276" w14:paraId="7B7A8591" w14:textId="77777777" w:rsidTr="00FA0EEC">
        <w:tc>
          <w:tcPr>
            <w:tcW w:w="7196" w:type="dxa"/>
            <w:gridSpan w:val="5"/>
            <w:vAlign w:val="center"/>
          </w:tcPr>
          <w:p w14:paraId="1EA15FDB" w14:textId="77777777" w:rsidR="00801F4F" w:rsidRPr="006E5276" w:rsidRDefault="00801F4F" w:rsidP="00FA0EEC">
            <w:pPr>
              <w:jc w:val="right"/>
              <w:rPr>
                <w:sz w:val="16"/>
                <w:szCs w:val="16"/>
              </w:rPr>
            </w:pPr>
            <w:r w:rsidRPr="006E5276">
              <w:rPr>
                <w:sz w:val="16"/>
                <w:szCs w:val="16"/>
              </w:rPr>
              <w:t>Applicazione cofinanziamento impresa -50%</w:t>
            </w:r>
          </w:p>
        </w:tc>
        <w:tc>
          <w:tcPr>
            <w:tcW w:w="1417" w:type="dxa"/>
          </w:tcPr>
          <w:p w14:paraId="2FE70FD4" w14:textId="77777777" w:rsidR="00801F4F" w:rsidRPr="006E5276" w:rsidRDefault="00801F4F" w:rsidP="00FA0EEC">
            <w:pPr>
              <w:jc w:val="center"/>
              <w:rPr>
                <w:sz w:val="16"/>
                <w:szCs w:val="16"/>
              </w:rPr>
            </w:pPr>
            <w:r w:rsidRPr="006E5276">
              <w:rPr>
                <w:sz w:val="16"/>
                <w:szCs w:val="16"/>
              </w:rPr>
              <w:t>274,61</w:t>
            </w:r>
          </w:p>
        </w:tc>
        <w:tc>
          <w:tcPr>
            <w:tcW w:w="1417" w:type="dxa"/>
          </w:tcPr>
          <w:p w14:paraId="4E57057E" w14:textId="77777777" w:rsidR="00801F4F" w:rsidRPr="006E5276" w:rsidRDefault="00801F4F" w:rsidP="00FA0EEC">
            <w:pPr>
              <w:jc w:val="center"/>
              <w:rPr>
                <w:sz w:val="16"/>
                <w:szCs w:val="16"/>
              </w:rPr>
            </w:pPr>
            <w:r w:rsidRPr="006E5276">
              <w:rPr>
                <w:sz w:val="16"/>
                <w:szCs w:val="16"/>
              </w:rPr>
              <w:t>3.294,00</w:t>
            </w:r>
          </w:p>
        </w:tc>
      </w:tr>
      <w:tr w:rsidR="00801F4F" w:rsidRPr="006E5276" w14:paraId="69053130" w14:textId="77777777" w:rsidTr="00FA0EEC">
        <w:tc>
          <w:tcPr>
            <w:tcW w:w="7196" w:type="dxa"/>
            <w:gridSpan w:val="5"/>
            <w:vAlign w:val="center"/>
          </w:tcPr>
          <w:p w14:paraId="266300DE" w14:textId="77777777" w:rsidR="00801F4F" w:rsidRPr="006E5276" w:rsidRDefault="00801F4F" w:rsidP="00FA0EEC">
            <w:pPr>
              <w:jc w:val="right"/>
              <w:rPr>
                <w:sz w:val="16"/>
                <w:szCs w:val="16"/>
              </w:rPr>
            </w:pPr>
            <w:r w:rsidRPr="006E5276">
              <w:rPr>
                <w:sz w:val="16"/>
                <w:szCs w:val="16"/>
              </w:rPr>
              <w:t>Arrotondamento</w:t>
            </w:r>
          </w:p>
        </w:tc>
        <w:tc>
          <w:tcPr>
            <w:tcW w:w="1417" w:type="dxa"/>
          </w:tcPr>
          <w:p w14:paraId="3F24FB6C" w14:textId="77777777" w:rsidR="00801F4F" w:rsidRPr="006E5276" w:rsidRDefault="00801F4F" w:rsidP="00FA0EEC">
            <w:pPr>
              <w:jc w:val="center"/>
              <w:rPr>
                <w:b/>
                <w:sz w:val="16"/>
                <w:szCs w:val="16"/>
              </w:rPr>
            </w:pPr>
            <w:r w:rsidRPr="006E5276">
              <w:rPr>
                <w:b/>
                <w:sz w:val="16"/>
                <w:szCs w:val="16"/>
              </w:rPr>
              <w:t xml:space="preserve">300,00 </w:t>
            </w:r>
          </w:p>
        </w:tc>
        <w:tc>
          <w:tcPr>
            <w:tcW w:w="1417" w:type="dxa"/>
          </w:tcPr>
          <w:p w14:paraId="08CE2F9C" w14:textId="77777777" w:rsidR="00801F4F" w:rsidRPr="006E5276" w:rsidRDefault="00801F4F" w:rsidP="00FA0EEC">
            <w:pPr>
              <w:jc w:val="center"/>
              <w:rPr>
                <w:b/>
                <w:sz w:val="16"/>
                <w:szCs w:val="16"/>
              </w:rPr>
            </w:pPr>
            <w:r w:rsidRPr="006E5276">
              <w:rPr>
                <w:b/>
                <w:sz w:val="16"/>
                <w:szCs w:val="16"/>
              </w:rPr>
              <w:t>3.300,00</w:t>
            </w:r>
          </w:p>
        </w:tc>
      </w:tr>
      <w:tr w:rsidR="00801F4F" w:rsidRPr="006E5276" w14:paraId="703A4A2A" w14:textId="77777777" w:rsidTr="00FA0EEC">
        <w:tc>
          <w:tcPr>
            <w:tcW w:w="7196" w:type="dxa"/>
            <w:gridSpan w:val="5"/>
            <w:vAlign w:val="center"/>
          </w:tcPr>
          <w:p w14:paraId="073CDD27" w14:textId="77777777" w:rsidR="00801F4F" w:rsidRPr="006E5276" w:rsidRDefault="00801F4F" w:rsidP="00FA0EEC">
            <w:pPr>
              <w:jc w:val="right"/>
              <w:rPr>
                <w:sz w:val="16"/>
                <w:szCs w:val="16"/>
              </w:rPr>
            </w:pPr>
            <w:r w:rsidRPr="006E5276">
              <w:rPr>
                <w:sz w:val="16"/>
                <w:szCs w:val="16"/>
              </w:rPr>
              <w:t>OSC</w:t>
            </w:r>
          </w:p>
        </w:tc>
        <w:tc>
          <w:tcPr>
            <w:tcW w:w="1417" w:type="dxa"/>
          </w:tcPr>
          <w:p w14:paraId="44FCC50F" w14:textId="77777777" w:rsidR="00801F4F" w:rsidRPr="006E5276" w:rsidRDefault="00801F4F" w:rsidP="00FA0EEC">
            <w:pPr>
              <w:jc w:val="center"/>
              <w:rPr>
                <w:sz w:val="16"/>
                <w:szCs w:val="16"/>
              </w:rPr>
            </w:pPr>
            <w:r w:rsidRPr="006E5276">
              <w:rPr>
                <w:sz w:val="16"/>
                <w:szCs w:val="16"/>
              </w:rPr>
              <w:t>Costo standard/mese</w:t>
            </w:r>
          </w:p>
        </w:tc>
        <w:tc>
          <w:tcPr>
            <w:tcW w:w="1417" w:type="dxa"/>
          </w:tcPr>
          <w:p w14:paraId="3020AA84" w14:textId="77777777" w:rsidR="00801F4F" w:rsidRPr="006E5276" w:rsidRDefault="00801F4F" w:rsidP="00FA0EEC">
            <w:pPr>
              <w:keepNext/>
              <w:jc w:val="center"/>
              <w:rPr>
                <w:sz w:val="16"/>
                <w:szCs w:val="16"/>
              </w:rPr>
            </w:pPr>
            <w:r w:rsidRPr="006E5276">
              <w:rPr>
                <w:sz w:val="16"/>
                <w:szCs w:val="16"/>
              </w:rPr>
              <w:t>Somma forfettaria</w:t>
            </w:r>
          </w:p>
        </w:tc>
      </w:tr>
    </w:tbl>
    <w:p w14:paraId="09DB839D" w14:textId="77777777" w:rsidR="00801F4F" w:rsidRDefault="00801F4F" w:rsidP="00801F4F">
      <w:pPr>
        <w:spacing w:before="120"/>
      </w:pPr>
    </w:p>
    <w:p w14:paraId="28BD4FA8" w14:textId="40153D3F" w:rsidR="00801F4F" w:rsidRPr="0055655F" w:rsidRDefault="00801F4F" w:rsidP="00801F4F">
      <w:pPr>
        <w:spacing w:before="120"/>
      </w:pPr>
      <w:r w:rsidRPr="0055655F">
        <w:t>Pertanto, da una prima analisi dei tariffari emergerebbe un costo standard mensile medio di € 300,00/marketplace mentre con riferimento ad un progetto annuale la somma forfettaria individuata sarebbe pari a € 3.000,00/marketplace. Nel caso di più marketplace il valore del progetto di integrazione andrebbe calcolato una sola volta in quanto lo stesso può integrare più marketplace con lo stesso servizio. In tal caso il valore di costo standard per il marketplace N+1 si aggirerebbe (arrotondato per difetto) intorno ad € 250,00/mese mentre la somma forfettaria intorno all’importo di € 3.100,00.</w:t>
      </w:r>
    </w:p>
    <w:p w14:paraId="01A5A139" w14:textId="77777777" w:rsidR="00801F4F" w:rsidRPr="006E5276" w:rsidRDefault="00801F4F" w:rsidP="00801F4F">
      <w:pPr>
        <w:pStyle w:val="Titolo4"/>
      </w:pPr>
      <w:bookmarkStart w:id="36" w:name="_Toc83204185"/>
      <w:bookmarkStart w:id="37" w:name="_Toc149065979"/>
      <w:bookmarkStart w:id="38" w:name="_Toc149133892"/>
      <w:r w:rsidRPr="006E5276">
        <w:t>Adozione di Opzioni Standard di Costo per tipologie di spesa analoghe</w:t>
      </w:r>
      <w:bookmarkEnd w:id="36"/>
      <w:bookmarkEnd w:id="37"/>
      <w:bookmarkEnd w:id="38"/>
    </w:p>
    <w:p w14:paraId="4A26BC3B" w14:textId="77777777" w:rsidR="00801F4F" w:rsidRPr="0055655F" w:rsidRDefault="00801F4F" w:rsidP="00801F4F">
      <w:r w:rsidRPr="0055655F">
        <w:t xml:space="preserve">Questo tipo di approccio permette il riutilizzo di un metodo di calcolo utilizzato per il finanziamento di tipologie analoghe di operazioni e di beneficiari nell’ambito di meccanismi di sovvenzione attivati in altri contesti o da altre autorità. Con riferimento alle attività A2 “Servizi di consulenza per l’internazionalizzazione” e D (1 e 2) “Registrazione di brevetti a livello europeo e internazionale” previste nell’Avviso si prone l’adozione di metodologie di calcolo rivenienti da altri regimi di aiuto. </w:t>
      </w:r>
    </w:p>
    <w:p w14:paraId="4B1009F0" w14:textId="77777777" w:rsidR="00801F4F" w:rsidRPr="00852B05" w:rsidRDefault="00801F4F" w:rsidP="00801F4F">
      <w:pPr>
        <w:spacing w:before="120" w:after="120"/>
      </w:pPr>
      <w:r w:rsidRPr="0055655F">
        <w:t xml:space="preserve">Nello specifico, per quanto riguarda l’attività A2 “Servizi di consulenza per l’internazionalizzazione”, si propone l’adozione della seguente tabella di costi standard: </w:t>
      </w:r>
    </w:p>
    <w:tbl>
      <w:tblPr>
        <w:tblW w:w="7965" w:type="dxa"/>
        <w:tblInd w:w="1063" w:type="dxa"/>
        <w:tbl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insideH w:val="single" w:sz="8" w:space="0" w:color="525252" w:themeColor="accent3" w:themeShade="80"/>
          <w:insideV w:val="single" w:sz="8" w:space="0" w:color="525252" w:themeColor="accent3" w:themeShade="80"/>
        </w:tblBorders>
        <w:shd w:val="clear" w:color="auto" w:fill="C9C9C9" w:themeFill="accent3" w:themeFillTint="99"/>
        <w:tblCellMar>
          <w:left w:w="0" w:type="dxa"/>
          <w:right w:w="0" w:type="dxa"/>
        </w:tblCellMar>
        <w:tblLook w:val="04A0" w:firstRow="1" w:lastRow="0" w:firstColumn="1" w:lastColumn="0" w:noHBand="0" w:noVBand="1"/>
      </w:tblPr>
      <w:tblGrid>
        <w:gridCol w:w="1209"/>
        <w:gridCol w:w="4202"/>
        <w:gridCol w:w="2554"/>
      </w:tblGrid>
      <w:tr w:rsidR="00801F4F" w:rsidRPr="006E5276" w14:paraId="0BD35B3C" w14:textId="77777777" w:rsidTr="00FA0EEC">
        <w:trPr>
          <w:trHeight w:val="325"/>
        </w:trPr>
        <w:tc>
          <w:tcPr>
            <w:tcW w:w="1208" w:type="dxa"/>
            <w:shd w:val="clear" w:color="auto" w:fill="2F5496" w:themeFill="accent1" w:themeFillShade="BF"/>
            <w:tcMar>
              <w:top w:w="0" w:type="dxa"/>
              <w:left w:w="70" w:type="dxa"/>
              <w:bottom w:w="0" w:type="dxa"/>
              <w:right w:w="70" w:type="dxa"/>
            </w:tcMar>
            <w:vAlign w:val="center"/>
          </w:tcPr>
          <w:p w14:paraId="415A0DB6" w14:textId="77777777" w:rsidR="00801F4F" w:rsidRPr="006E5276" w:rsidRDefault="00801F4F" w:rsidP="00FA0EEC">
            <w:pPr>
              <w:jc w:val="center"/>
              <w:rPr>
                <w:rFonts w:cs="Calibri"/>
                <w:b/>
                <w:color w:val="FFFFFF" w:themeColor="background1"/>
                <w:sz w:val="18"/>
                <w:szCs w:val="20"/>
              </w:rPr>
            </w:pPr>
            <w:r w:rsidRPr="006E5276">
              <w:rPr>
                <w:rFonts w:cs="Calibri"/>
                <w:b/>
                <w:color w:val="FFFFFF" w:themeColor="background1"/>
                <w:sz w:val="18"/>
                <w:szCs w:val="20"/>
              </w:rPr>
              <w:t>Livello</w:t>
            </w:r>
          </w:p>
        </w:tc>
        <w:tc>
          <w:tcPr>
            <w:tcW w:w="4198" w:type="dxa"/>
            <w:shd w:val="clear" w:color="auto" w:fill="2F5496" w:themeFill="accent1" w:themeFillShade="BF"/>
            <w:tcMar>
              <w:top w:w="0" w:type="dxa"/>
              <w:left w:w="70" w:type="dxa"/>
              <w:bottom w:w="0" w:type="dxa"/>
              <w:right w:w="70" w:type="dxa"/>
            </w:tcMar>
            <w:vAlign w:val="center"/>
          </w:tcPr>
          <w:p w14:paraId="36CCCA92" w14:textId="77777777" w:rsidR="00801F4F" w:rsidRPr="006E5276" w:rsidRDefault="00801F4F" w:rsidP="00FA0EEC">
            <w:pPr>
              <w:jc w:val="center"/>
              <w:rPr>
                <w:rFonts w:cs="Calibri"/>
                <w:b/>
                <w:color w:val="FFFFFF" w:themeColor="background1"/>
                <w:sz w:val="18"/>
                <w:szCs w:val="20"/>
              </w:rPr>
            </w:pPr>
            <w:r w:rsidRPr="006E5276">
              <w:rPr>
                <w:rFonts w:cs="Calibri"/>
                <w:b/>
                <w:bCs/>
                <w:color w:val="FFFFFF" w:themeColor="background1"/>
                <w:sz w:val="18"/>
                <w:szCs w:val="20"/>
              </w:rPr>
              <w:t>Esperienza nel settore specifico di consulenza</w:t>
            </w:r>
          </w:p>
        </w:tc>
        <w:tc>
          <w:tcPr>
            <w:tcW w:w="2552" w:type="dxa"/>
            <w:shd w:val="clear" w:color="auto" w:fill="2F5496" w:themeFill="accent1" w:themeFillShade="BF"/>
            <w:tcMar>
              <w:top w:w="0" w:type="dxa"/>
              <w:left w:w="70" w:type="dxa"/>
              <w:bottom w:w="0" w:type="dxa"/>
              <w:right w:w="70" w:type="dxa"/>
            </w:tcMar>
            <w:vAlign w:val="center"/>
          </w:tcPr>
          <w:p w14:paraId="69841981" w14:textId="77777777" w:rsidR="00801F4F" w:rsidRPr="006E5276" w:rsidRDefault="00801F4F" w:rsidP="00FA0EEC">
            <w:pPr>
              <w:jc w:val="center"/>
              <w:rPr>
                <w:rFonts w:cs="Calibri"/>
                <w:b/>
                <w:color w:val="FFFFFF" w:themeColor="background1"/>
                <w:sz w:val="18"/>
                <w:szCs w:val="20"/>
              </w:rPr>
            </w:pPr>
            <w:r w:rsidRPr="006E5276">
              <w:rPr>
                <w:rFonts w:cs="Calibri"/>
                <w:b/>
                <w:bCs/>
                <w:color w:val="FFFFFF" w:themeColor="background1"/>
                <w:sz w:val="18"/>
                <w:szCs w:val="20"/>
              </w:rPr>
              <w:t>Tariffa max giornaliera</w:t>
            </w:r>
          </w:p>
        </w:tc>
      </w:tr>
      <w:tr w:rsidR="00801F4F" w:rsidRPr="006E5276" w14:paraId="19D42A85" w14:textId="77777777" w:rsidTr="00FA0EEC">
        <w:trPr>
          <w:trHeight w:val="103"/>
        </w:trPr>
        <w:tc>
          <w:tcPr>
            <w:tcW w:w="1208" w:type="dxa"/>
            <w:shd w:val="clear" w:color="auto" w:fill="FFFFFF" w:themeFill="background1"/>
            <w:tcMar>
              <w:top w:w="0" w:type="dxa"/>
              <w:left w:w="70" w:type="dxa"/>
              <w:bottom w:w="0" w:type="dxa"/>
              <w:right w:w="70" w:type="dxa"/>
            </w:tcMar>
            <w:vAlign w:val="center"/>
          </w:tcPr>
          <w:p w14:paraId="465FB974" w14:textId="77777777" w:rsidR="00801F4F" w:rsidRPr="006E5276" w:rsidRDefault="00801F4F" w:rsidP="00FA0EEC">
            <w:pPr>
              <w:jc w:val="center"/>
              <w:rPr>
                <w:rFonts w:cs="Calibri"/>
                <w:sz w:val="18"/>
                <w:szCs w:val="20"/>
              </w:rPr>
            </w:pPr>
            <w:r w:rsidRPr="006E5276">
              <w:rPr>
                <w:rFonts w:cs="Calibri"/>
                <w:bCs/>
                <w:sz w:val="18"/>
                <w:szCs w:val="20"/>
              </w:rPr>
              <w:t>IV</w:t>
            </w:r>
          </w:p>
        </w:tc>
        <w:tc>
          <w:tcPr>
            <w:tcW w:w="4198" w:type="dxa"/>
            <w:shd w:val="clear" w:color="auto" w:fill="FFFFFF" w:themeFill="background1"/>
            <w:tcMar>
              <w:top w:w="0" w:type="dxa"/>
              <w:left w:w="70" w:type="dxa"/>
              <w:bottom w:w="0" w:type="dxa"/>
              <w:right w:w="70" w:type="dxa"/>
            </w:tcMar>
            <w:vAlign w:val="center"/>
          </w:tcPr>
          <w:p w14:paraId="615A7ADE" w14:textId="77777777" w:rsidR="00801F4F" w:rsidRPr="006E5276" w:rsidRDefault="00801F4F" w:rsidP="00FA0EEC">
            <w:pPr>
              <w:jc w:val="center"/>
              <w:rPr>
                <w:rFonts w:cs="Calibri"/>
                <w:sz w:val="18"/>
                <w:szCs w:val="20"/>
              </w:rPr>
            </w:pPr>
            <w:r w:rsidRPr="006E5276">
              <w:rPr>
                <w:rFonts w:cs="Calibri"/>
                <w:bCs/>
                <w:sz w:val="18"/>
                <w:szCs w:val="20"/>
              </w:rPr>
              <w:t>2-5 anni</w:t>
            </w:r>
          </w:p>
        </w:tc>
        <w:tc>
          <w:tcPr>
            <w:tcW w:w="2552" w:type="dxa"/>
            <w:shd w:val="clear" w:color="auto" w:fill="FFFFFF" w:themeFill="background1"/>
            <w:tcMar>
              <w:top w:w="0" w:type="dxa"/>
              <w:left w:w="70" w:type="dxa"/>
              <w:bottom w:w="0" w:type="dxa"/>
              <w:right w:w="70" w:type="dxa"/>
            </w:tcMar>
            <w:vAlign w:val="center"/>
          </w:tcPr>
          <w:p w14:paraId="67288DC8" w14:textId="77777777" w:rsidR="00801F4F" w:rsidRPr="006E5276" w:rsidRDefault="00801F4F" w:rsidP="00FA0EEC">
            <w:pPr>
              <w:jc w:val="center"/>
              <w:rPr>
                <w:rFonts w:cs="Calibri"/>
                <w:sz w:val="18"/>
                <w:szCs w:val="20"/>
              </w:rPr>
            </w:pPr>
            <w:r w:rsidRPr="006E5276">
              <w:rPr>
                <w:rFonts w:cs="Calibri"/>
                <w:bCs/>
                <w:sz w:val="18"/>
                <w:szCs w:val="20"/>
              </w:rPr>
              <w:t xml:space="preserve">€ 200,00 </w:t>
            </w:r>
          </w:p>
        </w:tc>
      </w:tr>
      <w:tr w:rsidR="00801F4F" w:rsidRPr="006E5276" w14:paraId="5690F504" w14:textId="77777777" w:rsidTr="00FA0EEC">
        <w:trPr>
          <w:trHeight w:val="191"/>
        </w:trPr>
        <w:tc>
          <w:tcPr>
            <w:tcW w:w="1208" w:type="dxa"/>
            <w:shd w:val="clear" w:color="auto" w:fill="FFFFFF" w:themeFill="background1"/>
            <w:tcMar>
              <w:top w:w="0" w:type="dxa"/>
              <w:left w:w="70" w:type="dxa"/>
              <w:bottom w:w="0" w:type="dxa"/>
              <w:right w:w="70" w:type="dxa"/>
            </w:tcMar>
            <w:vAlign w:val="center"/>
          </w:tcPr>
          <w:p w14:paraId="7B6FE344" w14:textId="77777777" w:rsidR="00801F4F" w:rsidRPr="006E5276" w:rsidRDefault="00801F4F" w:rsidP="00FA0EEC">
            <w:pPr>
              <w:jc w:val="center"/>
              <w:rPr>
                <w:rFonts w:cs="Calibri"/>
                <w:sz w:val="18"/>
                <w:szCs w:val="20"/>
              </w:rPr>
            </w:pPr>
            <w:r w:rsidRPr="006E5276">
              <w:rPr>
                <w:rFonts w:cs="Calibri"/>
                <w:bCs/>
                <w:sz w:val="18"/>
                <w:szCs w:val="20"/>
              </w:rPr>
              <w:t>III</w:t>
            </w:r>
          </w:p>
        </w:tc>
        <w:tc>
          <w:tcPr>
            <w:tcW w:w="4198" w:type="dxa"/>
            <w:shd w:val="clear" w:color="auto" w:fill="FFFFFF" w:themeFill="background1"/>
            <w:tcMar>
              <w:top w:w="0" w:type="dxa"/>
              <w:left w:w="70" w:type="dxa"/>
              <w:bottom w:w="0" w:type="dxa"/>
              <w:right w:w="70" w:type="dxa"/>
            </w:tcMar>
            <w:vAlign w:val="center"/>
          </w:tcPr>
          <w:p w14:paraId="0E6E9554" w14:textId="77777777" w:rsidR="00801F4F" w:rsidRPr="006E5276" w:rsidRDefault="00801F4F" w:rsidP="00FA0EEC">
            <w:pPr>
              <w:jc w:val="center"/>
              <w:rPr>
                <w:rFonts w:cs="Calibri"/>
                <w:sz w:val="18"/>
                <w:szCs w:val="20"/>
              </w:rPr>
            </w:pPr>
            <w:r w:rsidRPr="006E5276">
              <w:rPr>
                <w:rFonts w:cs="Calibri"/>
                <w:bCs/>
                <w:sz w:val="18"/>
                <w:szCs w:val="20"/>
              </w:rPr>
              <w:t>5 – 10 anni</w:t>
            </w:r>
          </w:p>
        </w:tc>
        <w:tc>
          <w:tcPr>
            <w:tcW w:w="2552" w:type="dxa"/>
            <w:shd w:val="clear" w:color="auto" w:fill="FFFFFF" w:themeFill="background1"/>
            <w:tcMar>
              <w:top w:w="0" w:type="dxa"/>
              <w:left w:w="70" w:type="dxa"/>
              <w:bottom w:w="0" w:type="dxa"/>
              <w:right w:w="70" w:type="dxa"/>
            </w:tcMar>
            <w:vAlign w:val="center"/>
          </w:tcPr>
          <w:p w14:paraId="4363611A" w14:textId="77777777" w:rsidR="00801F4F" w:rsidRPr="006E5276" w:rsidRDefault="00801F4F" w:rsidP="00FA0EEC">
            <w:pPr>
              <w:jc w:val="center"/>
              <w:rPr>
                <w:rFonts w:cs="Calibri"/>
                <w:sz w:val="18"/>
                <w:szCs w:val="20"/>
              </w:rPr>
            </w:pPr>
            <w:r w:rsidRPr="006E5276">
              <w:rPr>
                <w:rFonts w:cs="Calibri"/>
                <w:bCs/>
                <w:sz w:val="18"/>
                <w:szCs w:val="20"/>
              </w:rPr>
              <w:t xml:space="preserve">€ 300,00 </w:t>
            </w:r>
          </w:p>
        </w:tc>
      </w:tr>
      <w:tr w:rsidR="00801F4F" w:rsidRPr="006E5276" w14:paraId="24E20A81" w14:textId="77777777" w:rsidTr="00FA0EEC">
        <w:trPr>
          <w:trHeight w:val="123"/>
        </w:trPr>
        <w:tc>
          <w:tcPr>
            <w:tcW w:w="1208" w:type="dxa"/>
            <w:shd w:val="clear" w:color="auto" w:fill="FFFFFF" w:themeFill="background1"/>
            <w:tcMar>
              <w:top w:w="0" w:type="dxa"/>
              <w:left w:w="70" w:type="dxa"/>
              <w:bottom w:w="0" w:type="dxa"/>
              <w:right w:w="70" w:type="dxa"/>
            </w:tcMar>
            <w:vAlign w:val="center"/>
          </w:tcPr>
          <w:p w14:paraId="12147ABD" w14:textId="77777777" w:rsidR="00801F4F" w:rsidRPr="006E5276" w:rsidRDefault="00801F4F" w:rsidP="00FA0EEC">
            <w:pPr>
              <w:jc w:val="center"/>
              <w:rPr>
                <w:rFonts w:cs="Calibri"/>
                <w:sz w:val="18"/>
                <w:szCs w:val="20"/>
              </w:rPr>
            </w:pPr>
            <w:r w:rsidRPr="006E5276">
              <w:rPr>
                <w:rFonts w:cs="Calibri"/>
                <w:bCs/>
                <w:sz w:val="18"/>
                <w:szCs w:val="20"/>
              </w:rPr>
              <w:t>II</w:t>
            </w:r>
          </w:p>
        </w:tc>
        <w:tc>
          <w:tcPr>
            <w:tcW w:w="4198" w:type="dxa"/>
            <w:shd w:val="clear" w:color="auto" w:fill="FFFFFF" w:themeFill="background1"/>
            <w:tcMar>
              <w:top w:w="0" w:type="dxa"/>
              <w:left w:w="70" w:type="dxa"/>
              <w:bottom w:w="0" w:type="dxa"/>
              <w:right w:w="70" w:type="dxa"/>
            </w:tcMar>
            <w:vAlign w:val="center"/>
          </w:tcPr>
          <w:p w14:paraId="36B567CC" w14:textId="77777777" w:rsidR="00801F4F" w:rsidRPr="006E5276" w:rsidRDefault="00801F4F" w:rsidP="00FA0EEC">
            <w:pPr>
              <w:jc w:val="center"/>
              <w:rPr>
                <w:rFonts w:cs="Calibri"/>
                <w:sz w:val="18"/>
                <w:szCs w:val="20"/>
              </w:rPr>
            </w:pPr>
            <w:r w:rsidRPr="006E5276">
              <w:rPr>
                <w:rFonts w:cs="Calibri"/>
                <w:bCs/>
                <w:sz w:val="18"/>
                <w:szCs w:val="20"/>
              </w:rPr>
              <w:t>10 – 15 anni</w:t>
            </w:r>
          </w:p>
        </w:tc>
        <w:tc>
          <w:tcPr>
            <w:tcW w:w="2552" w:type="dxa"/>
            <w:shd w:val="clear" w:color="auto" w:fill="FFFFFF" w:themeFill="background1"/>
            <w:tcMar>
              <w:top w:w="0" w:type="dxa"/>
              <w:left w:w="70" w:type="dxa"/>
              <w:bottom w:w="0" w:type="dxa"/>
              <w:right w:w="70" w:type="dxa"/>
            </w:tcMar>
            <w:vAlign w:val="center"/>
          </w:tcPr>
          <w:p w14:paraId="685BCD5B" w14:textId="77777777" w:rsidR="00801F4F" w:rsidRPr="006E5276" w:rsidRDefault="00801F4F" w:rsidP="00FA0EEC">
            <w:pPr>
              <w:jc w:val="center"/>
              <w:rPr>
                <w:rFonts w:cs="Calibri"/>
                <w:sz w:val="18"/>
                <w:szCs w:val="20"/>
              </w:rPr>
            </w:pPr>
            <w:r w:rsidRPr="006E5276">
              <w:rPr>
                <w:rFonts w:cs="Calibri"/>
                <w:bCs/>
                <w:sz w:val="18"/>
                <w:szCs w:val="20"/>
              </w:rPr>
              <w:t xml:space="preserve">€ 450,00 </w:t>
            </w:r>
          </w:p>
        </w:tc>
      </w:tr>
      <w:tr w:rsidR="00801F4F" w:rsidRPr="006E5276" w14:paraId="0544F3F3" w14:textId="77777777" w:rsidTr="00FA0EEC">
        <w:trPr>
          <w:trHeight w:val="69"/>
        </w:trPr>
        <w:tc>
          <w:tcPr>
            <w:tcW w:w="1208" w:type="dxa"/>
            <w:shd w:val="clear" w:color="auto" w:fill="FFFFFF" w:themeFill="background1"/>
            <w:tcMar>
              <w:top w:w="0" w:type="dxa"/>
              <w:left w:w="70" w:type="dxa"/>
              <w:bottom w:w="0" w:type="dxa"/>
              <w:right w:w="70" w:type="dxa"/>
            </w:tcMar>
            <w:vAlign w:val="center"/>
          </w:tcPr>
          <w:p w14:paraId="0EB9C6AA" w14:textId="77777777" w:rsidR="00801F4F" w:rsidRPr="006E5276" w:rsidRDefault="00801F4F" w:rsidP="00FA0EEC">
            <w:pPr>
              <w:jc w:val="center"/>
              <w:rPr>
                <w:rFonts w:cs="Calibri"/>
                <w:sz w:val="18"/>
                <w:szCs w:val="20"/>
              </w:rPr>
            </w:pPr>
            <w:r w:rsidRPr="006E5276">
              <w:rPr>
                <w:rFonts w:cs="Calibri"/>
                <w:bCs/>
                <w:sz w:val="18"/>
                <w:szCs w:val="20"/>
              </w:rPr>
              <w:t>I</w:t>
            </w:r>
          </w:p>
        </w:tc>
        <w:tc>
          <w:tcPr>
            <w:tcW w:w="4198" w:type="dxa"/>
            <w:shd w:val="clear" w:color="auto" w:fill="FFFFFF" w:themeFill="background1"/>
            <w:tcMar>
              <w:top w:w="0" w:type="dxa"/>
              <w:left w:w="70" w:type="dxa"/>
              <w:bottom w:w="0" w:type="dxa"/>
              <w:right w:w="70" w:type="dxa"/>
            </w:tcMar>
            <w:vAlign w:val="center"/>
          </w:tcPr>
          <w:p w14:paraId="08072C65" w14:textId="77777777" w:rsidR="00801F4F" w:rsidRPr="006E5276" w:rsidRDefault="00801F4F" w:rsidP="00FA0EEC">
            <w:pPr>
              <w:jc w:val="center"/>
              <w:rPr>
                <w:rFonts w:cs="Calibri"/>
                <w:sz w:val="18"/>
                <w:szCs w:val="20"/>
              </w:rPr>
            </w:pPr>
            <w:r w:rsidRPr="006E5276">
              <w:rPr>
                <w:rFonts w:cs="Calibri"/>
                <w:bCs/>
                <w:sz w:val="18"/>
                <w:szCs w:val="20"/>
              </w:rPr>
              <w:t>Oltre 15 anni</w:t>
            </w:r>
          </w:p>
        </w:tc>
        <w:tc>
          <w:tcPr>
            <w:tcW w:w="2552" w:type="dxa"/>
            <w:shd w:val="clear" w:color="auto" w:fill="FFFFFF" w:themeFill="background1"/>
            <w:tcMar>
              <w:top w:w="0" w:type="dxa"/>
              <w:left w:w="70" w:type="dxa"/>
              <w:bottom w:w="0" w:type="dxa"/>
              <w:right w:w="70" w:type="dxa"/>
            </w:tcMar>
            <w:vAlign w:val="center"/>
          </w:tcPr>
          <w:p w14:paraId="163EE0DB" w14:textId="77777777" w:rsidR="00801F4F" w:rsidRPr="006E5276" w:rsidRDefault="00801F4F" w:rsidP="00FA0EEC">
            <w:pPr>
              <w:keepNext/>
              <w:jc w:val="center"/>
              <w:rPr>
                <w:rFonts w:cs="Calibri"/>
                <w:sz w:val="18"/>
                <w:szCs w:val="20"/>
              </w:rPr>
            </w:pPr>
            <w:r w:rsidRPr="006E5276">
              <w:rPr>
                <w:rFonts w:cs="Calibri"/>
                <w:bCs/>
                <w:sz w:val="18"/>
                <w:szCs w:val="20"/>
              </w:rPr>
              <w:t xml:space="preserve">€ 500,00 </w:t>
            </w:r>
          </w:p>
        </w:tc>
      </w:tr>
    </w:tbl>
    <w:p w14:paraId="63A86CBB" w14:textId="77777777" w:rsidR="00801F4F" w:rsidRDefault="00801F4F" w:rsidP="00801F4F">
      <w:pPr>
        <w:rPr>
          <w:szCs w:val="20"/>
        </w:rPr>
      </w:pPr>
    </w:p>
    <w:p w14:paraId="1D77562F" w14:textId="4554DCD3" w:rsidR="00801F4F" w:rsidRPr="0055655F" w:rsidRDefault="00801F4F" w:rsidP="00801F4F">
      <w:pPr>
        <w:rPr>
          <w:szCs w:val="20"/>
        </w:rPr>
      </w:pPr>
      <w:r w:rsidRPr="0055655F">
        <w:rPr>
          <w:szCs w:val="20"/>
        </w:rPr>
        <w:t>In questo caso tutte le prestazioni di consulenza dovranno essere giustificate, sia in fase di presentazione del progetto che di “rendicontazione” delle attività, in termini di giornate di consulenza. Il costo giornaliero (8 ore) degli esperti incaricati, riconoscibile ai fini contributivi, non potrà superare i parametri massimi fissati nella tabella.</w:t>
      </w:r>
    </w:p>
    <w:p w14:paraId="06321521" w14:textId="77777777" w:rsidR="00801F4F" w:rsidRPr="0055655F" w:rsidRDefault="00801F4F" w:rsidP="00801F4F">
      <w:pPr>
        <w:rPr>
          <w:szCs w:val="20"/>
        </w:rPr>
      </w:pPr>
      <w:r w:rsidRPr="0055655F">
        <w:rPr>
          <w:szCs w:val="20"/>
        </w:rPr>
        <w:t>Tali indicazioni di costo richiamano le indicazioni contenute nella misura denominata “Voucher internazionalizzazione” approvata con Decreto del Ministro degli Esteri n. 3623_1544 del 18 agosto 2020 e gestita da INVITALIA SpA, la quale finanzia le spese sostenute per usufruire di consulenze da parte di Temporary Export Manager (TEM) con competenze digitali, inseriti temporaneamente in azienda e iscritti nell’apposito elenco del Ministero degli Esteri.</w:t>
      </w:r>
    </w:p>
    <w:p w14:paraId="4A61547A" w14:textId="77777777" w:rsidR="00801F4F" w:rsidRPr="00AA1812" w:rsidRDefault="00801F4F" w:rsidP="00801F4F">
      <w:pPr>
        <w:spacing w:after="240"/>
      </w:pPr>
      <w:r w:rsidRPr="0055655F">
        <w:t>Volendo desumere dalla tabella dei costi standard i valori medi riferiti alla tariffa max giornaliera, pari a € 350,00 e moltiplicando gli stessi per il valore medio dei giorni costituenti una fiera commerciale internazionale (n. 3) si potrà definire, analogamente al calcolo realizzato per l’individuazione di una somma forfettaria riferita all’attività B, il seguente prospetto:</w:t>
      </w:r>
    </w:p>
    <w:tbl>
      <w:tblPr>
        <w:tblStyle w:val="Grigliatabella"/>
        <w:tblW w:w="0" w:type="auto"/>
        <w:jc w:val="center"/>
        <w:tbl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insideH w:val="none" w:sz="0" w:space="0" w:color="auto"/>
          <w:insideV w:val="none" w:sz="0" w:space="0" w:color="auto"/>
        </w:tblBorders>
        <w:tblLook w:val="04A0" w:firstRow="1" w:lastRow="0" w:firstColumn="1" w:lastColumn="0" w:noHBand="0" w:noVBand="1"/>
      </w:tblPr>
      <w:tblGrid>
        <w:gridCol w:w="774"/>
        <w:gridCol w:w="704"/>
        <w:gridCol w:w="619"/>
        <w:gridCol w:w="871"/>
        <w:gridCol w:w="893"/>
        <w:gridCol w:w="893"/>
        <w:gridCol w:w="1084"/>
        <w:gridCol w:w="1226"/>
        <w:gridCol w:w="1263"/>
        <w:gridCol w:w="1274"/>
      </w:tblGrid>
      <w:tr w:rsidR="00801F4F" w:rsidRPr="006E5276" w14:paraId="1FA4AF46" w14:textId="77777777" w:rsidTr="00FA0EEC">
        <w:trPr>
          <w:trHeight w:val="1040"/>
          <w:jc w:val="center"/>
        </w:trPr>
        <w:tc>
          <w:tcPr>
            <w:tcW w:w="774" w:type="dxa"/>
            <w:tcBorders>
              <w:top w:val="single" w:sz="8" w:space="0" w:color="525252" w:themeColor="accent3" w:themeShade="80"/>
              <w:bottom w:val="single" w:sz="8" w:space="0" w:color="525252" w:themeColor="accent3" w:themeShade="80"/>
            </w:tcBorders>
            <w:shd w:val="clear" w:color="auto" w:fill="2F5496" w:themeFill="accent1" w:themeFillShade="BF"/>
            <w:vAlign w:val="center"/>
          </w:tcPr>
          <w:p w14:paraId="12F29CB9" w14:textId="77777777" w:rsidR="00801F4F" w:rsidRPr="006E5276" w:rsidRDefault="00801F4F" w:rsidP="00FA0EEC">
            <w:pPr>
              <w:pStyle w:val="Corpotesto"/>
              <w:jc w:val="center"/>
              <w:rPr>
                <w:rFonts w:ascii="Titillium Web" w:hAnsi="Titillium Web"/>
                <w:b/>
                <w:color w:val="FFFFFF" w:themeColor="background1"/>
                <w:spacing w:val="-1"/>
                <w:sz w:val="14"/>
                <w:szCs w:val="14"/>
              </w:rPr>
            </w:pPr>
            <w:r w:rsidRPr="006E5276">
              <w:rPr>
                <w:rFonts w:ascii="Titillium Web" w:hAnsi="Titillium Web"/>
                <w:b/>
                <w:color w:val="FFFFFF" w:themeColor="background1"/>
                <w:spacing w:val="-1"/>
                <w:sz w:val="14"/>
                <w:szCs w:val="14"/>
              </w:rPr>
              <w:t>Costo standard</w:t>
            </w:r>
          </w:p>
        </w:tc>
        <w:tc>
          <w:tcPr>
            <w:tcW w:w="704" w:type="dxa"/>
            <w:tcBorders>
              <w:top w:val="single" w:sz="8" w:space="0" w:color="525252" w:themeColor="accent3" w:themeShade="80"/>
              <w:bottom w:val="single" w:sz="8" w:space="0" w:color="525252" w:themeColor="accent3" w:themeShade="80"/>
            </w:tcBorders>
            <w:shd w:val="clear" w:color="auto" w:fill="2F5496" w:themeFill="accent1" w:themeFillShade="BF"/>
            <w:vAlign w:val="center"/>
          </w:tcPr>
          <w:p w14:paraId="007314DE" w14:textId="77777777" w:rsidR="00801F4F" w:rsidRPr="006E5276" w:rsidRDefault="00801F4F" w:rsidP="00FA0EEC">
            <w:pPr>
              <w:pStyle w:val="Corpotesto"/>
              <w:jc w:val="center"/>
              <w:rPr>
                <w:rFonts w:ascii="Titillium Web" w:hAnsi="Titillium Web"/>
                <w:b/>
                <w:color w:val="FFFFFF" w:themeColor="background1"/>
                <w:spacing w:val="-1"/>
                <w:sz w:val="14"/>
                <w:szCs w:val="14"/>
              </w:rPr>
            </w:pPr>
            <w:r w:rsidRPr="006E5276">
              <w:rPr>
                <w:rFonts w:ascii="Titillium Web" w:hAnsi="Titillium Web"/>
                <w:b/>
                <w:color w:val="FFFFFF" w:themeColor="background1"/>
                <w:spacing w:val="-1"/>
                <w:sz w:val="14"/>
                <w:szCs w:val="14"/>
              </w:rPr>
              <w:t>Unità di misura</w:t>
            </w:r>
          </w:p>
        </w:tc>
        <w:tc>
          <w:tcPr>
            <w:tcW w:w="619" w:type="dxa"/>
            <w:tcBorders>
              <w:top w:val="single" w:sz="8" w:space="0" w:color="525252" w:themeColor="accent3" w:themeShade="80"/>
              <w:bottom w:val="single" w:sz="8" w:space="0" w:color="525252" w:themeColor="accent3" w:themeShade="80"/>
            </w:tcBorders>
            <w:shd w:val="clear" w:color="auto" w:fill="2F5496" w:themeFill="accent1" w:themeFillShade="BF"/>
            <w:vAlign w:val="center"/>
          </w:tcPr>
          <w:p w14:paraId="59F429D7" w14:textId="77777777" w:rsidR="00801F4F" w:rsidRPr="006E5276" w:rsidRDefault="00801F4F" w:rsidP="00FA0EEC">
            <w:pPr>
              <w:pStyle w:val="Corpotesto"/>
              <w:jc w:val="center"/>
              <w:rPr>
                <w:rFonts w:ascii="Titillium Web" w:hAnsi="Titillium Web"/>
                <w:b/>
                <w:color w:val="FFFFFF" w:themeColor="background1"/>
                <w:spacing w:val="-1"/>
                <w:sz w:val="14"/>
                <w:szCs w:val="14"/>
              </w:rPr>
            </w:pPr>
            <w:r w:rsidRPr="006E5276">
              <w:rPr>
                <w:rFonts w:ascii="Titillium Web" w:hAnsi="Titillium Web"/>
                <w:b/>
                <w:color w:val="FFFFFF" w:themeColor="background1"/>
                <w:spacing w:val="-1"/>
                <w:sz w:val="14"/>
                <w:szCs w:val="14"/>
              </w:rPr>
              <w:t>Valore medio in giorni</w:t>
            </w:r>
          </w:p>
        </w:tc>
        <w:tc>
          <w:tcPr>
            <w:tcW w:w="871" w:type="dxa"/>
            <w:tcBorders>
              <w:top w:val="single" w:sz="8" w:space="0" w:color="525252" w:themeColor="accent3" w:themeShade="80"/>
              <w:bottom w:val="single" w:sz="8" w:space="0" w:color="525252" w:themeColor="accent3" w:themeShade="80"/>
            </w:tcBorders>
            <w:shd w:val="clear" w:color="auto" w:fill="2F5496" w:themeFill="accent1" w:themeFillShade="BF"/>
            <w:vAlign w:val="center"/>
          </w:tcPr>
          <w:p w14:paraId="06F608DB" w14:textId="77777777" w:rsidR="00801F4F" w:rsidRPr="006E5276" w:rsidRDefault="00801F4F" w:rsidP="00FA0EEC">
            <w:pPr>
              <w:pStyle w:val="Corpotesto"/>
              <w:jc w:val="center"/>
              <w:rPr>
                <w:rFonts w:ascii="Titillium Web" w:hAnsi="Titillium Web"/>
                <w:b/>
                <w:color w:val="FFFFFF" w:themeColor="background1"/>
                <w:spacing w:val="-1"/>
                <w:sz w:val="14"/>
                <w:szCs w:val="14"/>
              </w:rPr>
            </w:pPr>
            <w:r w:rsidRPr="006E5276">
              <w:rPr>
                <w:rFonts w:ascii="Titillium Web" w:hAnsi="Titillium Web"/>
                <w:b/>
                <w:color w:val="FFFFFF" w:themeColor="background1"/>
                <w:spacing w:val="-1"/>
                <w:sz w:val="14"/>
                <w:szCs w:val="14"/>
              </w:rPr>
              <w:t>Costo diretto</w:t>
            </w:r>
          </w:p>
        </w:tc>
        <w:tc>
          <w:tcPr>
            <w:tcW w:w="893" w:type="dxa"/>
            <w:tcBorders>
              <w:top w:val="single" w:sz="8" w:space="0" w:color="525252" w:themeColor="accent3" w:themeShade="80"/>
              <w:bottom w:val="single" w:sz="8" w:space="0" w:color="525252" w:themeColor="accent3" w:themeShade="80"/>
            </w:tcBorders>
            <w:shd w:val="clear" w:color="auto" w:fill="2F5496" w:themeFill="accent1" w:themeFillShade="BF"/>
          </w:tcPr>
          <w:p w14:paraId="27BE8025" w14:textId="77777777" w:rsidR="00801F4F" w:rsidRPr="006E5276" w:rsidRDefault="00801F4F" w:rsidP="00FA0EEC">
            <w:pPr>
              <w:pStyle w:val="Corpotesto"/>
              <w:jc w:val="center"/>
              <w:rPr>
                <w:rFonts w:ascii="Titillium Web" w:hAnsi="Titillium Web"/>
                <w:b/>
                <w:color w:val="FFFFFF" w:themeColor="background1"/>
                <w:spacing w:val="-1"/>
                <w:sz w:val="14"/>
                <w:szCs w:val="14"/>
              </w:rPr>
            </w:pPr>
            <w:r w:rsidRPr="006E5276">
              <w:rPr>
                <w:rFonts w:ascii="Titillium Web" w:hAnsi="Titillium Web"/>
                <w:b/>
                <w:color w:val="FFFFFF" w:themeColor="background1"/>
                <w:spacing w:val="-1"/>
                <w:sz w:val="14"/>
                <w:szCs w:val="14"/>
              </w:rPr>
              <w:t>Costo diretto del personale (20% dei costi diretti)</w:t>
            </w:r>
          </w:p>
        </w:tc>
        <w:tc>
          <w:tcPr>
            <w:tcW w:w="893" w:type="dxa"/>
            <w:tcBorders>
              <w:top w:val="single" w:sz="8" w:space="0" w:color="525252" w:themeColor="accent3" w:themeShade="80"/>
              <w:bottom w:val="single" w:sz="8" w:space="0" w:color="525252" w:themeColor="accent3" w:themeShade="80"/>
            </w:tcBorders>
            <w:shd w:val="clear" w:color="auto" w:fill="2F5496" w:themeFill="accent1" w:themeFillShade="BF"/>
            <w:vAlign w:val="center"/>
          </w:tcPr>
          <w:p w14:paraId="5246C2F6" w14:textId="77777777" w:rsidR="00801F4F" w:rsidRPr="006E5276" w:rsidRDefault="00801F4F" w:rsidP="00FA0EEC">
            <w:pPr>
              <w:pStyle w:val="Corpotesto"/>
              <w:jc w:val="center"/>
              <w:rPr>
                <w:rFonts w:ascii="Titillium Web" w:hAnsi="Titillium Web"/>
                <w:b/>
                <w:color w:val="FFFFFF" w:themeColor="background1"/>
                <w:spacing w:val="-1"/>
                <w:sz w:val="14"/>
                <w:szCs w:val="14"/>
              </w:rPr>
            </w:pPr>
            <w:r w:rsidRPr="006E5276">
              <w:rPr>
                <w:rFonts w:ascii="Titillium Web" w:hAnsi="Titillium Web"/>
                <w:b/>
                <w:color w:val="FFFFFF" w:themeColor="background1"/>
                <w:spacing w:val="-1"/>
                <w:sz w:val="14"/>
                <w:szCs w:val="14"/>
              </w:rPr>
              <w:t>Totale costi</w:t>
            </w:r>
          </w:p>
        </w:tc>
        <w:tc>
          <w:tcPr>
            <w:tcW w:w="1084" w:type="dxa"/>
            <w:tcBorders>
              <w:top w:val="single" w:sz="8" w:space="0" w:color="525252" w:themeColor="accent3" w:themeShade="80"/>
              <w:bottom w:val="single" w:sz="8" w:space="0" w:color="525252" w:themeColor="accent3" w:themeShade="80"/>
            </w:tcBorders>
            <w:shd w:val="clear" w:color="auto" w:fill="2F5496" w:themeFill="accent1" w:themeFillShade="BF"/>
            <w:vAlign w:val="center"/>
          </w:tcPr>
          <w:p w14:paraId="7FB2480E" w14:textId="77777777" w:rsidR="00801F4F" w:rsidRPr="006E5276" w:rsidRDefault="00801F4F" w:rsidP="00FA0EEC">
            <w:pPr>
              <w:pStyle w:val="Corpotesto"/>
              <w:jc w:val="center"/>
              <w:rPr>
                <w:rFonts w:ascii="Titillium Web" w:hAnsi="Titillium Web"/>
                <w:b/>
                <w:color w:val="FFFFFF" w:themeColor="background1"/>
                <w:spacing w:val="-1"/>
                <w:sz w:val="14"/>
                <w:szCs w:val="14"/>
              </w:rPr>
            </w:pPr>
            <w:r w:rsidRPr="006E5276">
              <w:rPr>
                <w:rFonts w:ascii="Titillium Web" w:hAnsi="Titillium Web"/>
                <w:b/>
                <w:color w:val="FFFFFF" w:themeColor="background1"/>
                <w:spacing w:val="-1"/>
                <w:sz w:val="14"/>
                <w:szCs w:val="14"/>
              </w:rPr>
              <w:t>Adeguamento costi +10%</w:t>
            </w:r>
          </w:p>
        </w:tc>
        <w:tc>
          <w:tcPr>
            <w:tcW w:w="1226" w:type="dxa"/>
            <w:tcBorders>
              <w:top w:val="single" w:sz="8" w:space="0" w:color="525252" w:themeColor="accent3" w:themeShade="80"/>
              <w:bottom w:val="single" w:sz="8" w:space="0" w:color="525252" w:themeColor="accent3" w:themeShade="80"/>
            </w:tcBorders>
            <w:shd w:val="clear" w:color="auto" w:fill="2F5496" w:themeFill="accent1" w:themeFillShade="BF"/>
            <w:vAlign w:val="center"/>
          </w:tcPr>
          <w:p w14:paraId="7583487A" w14:textId="77777777" w:rsidR="00801F4F" w:rsidRPr="006E5276" w:rsidRDefault="00801F4F" w:rsidP="00FA0EEC">
            <w:pPr>
              <w:pStyle w:val="Corpotesto"/>
              <w:jc w:val="center"/>
              <w:rPr>
                <w:rFonts w:ascii="Titillium Web" w:hAnsi="Titillium Web"/>
                <w:b/>
                <w:color w:val="FFFFFF" w:themeColor="background1"/>
                <w:spacing w:val="-1"/>
                <w:sz w:val="14"/>
                <w:szCs w:val="14"/>
              </w:rPr>
            </w:pPr>
            <w:r w:rsidRPr="006E5276">
              <w:rPr>
                <w:rFonts w:ascii="Titillium Web" w:hAnsi="Titillium Web"/>
                <w:b/>
                <w:color w:val="FFFFFF" w:themeColor="background1"/>
                <w:spacing w:val="-1"/>
                <w:sz w:val="14"/>
                <w:szCs w:val="14"/>
              </w:rPr>
              <w:t>Totale parziale</w:t>
            </w:r>
          </w:p>
        </w:tc>
        <w:tc>
          <w:tcPr>
            <w:tcW w:w="1263" w:type="dxa"/>
            <w:tcBorders>
              <w:top w:val="single" w:sz="8" w:space="0" w:color="525252" w:themeColor="accent3" w:themeShade="80"/>
              <w:bottom w:val="single" w:sz="8" w:space="0" w:color="525252" w:themeColor="accent3" w:themeShade="80"/>
            </w:tcBorders>
            <w:shd w:val="clear" w:color="auto" w:fill="2F5496" w:themeFill="accent1" w:themeFillShade="BF"/>
            <w:vAlign w:val="center"/>
          </w:tcPr>
          <w:p w14:paraId="48807937" w14:textId="77777777" w:rsidR="00801F4F" w:rsidRPr="006E5276" w:rsidRDefault="00801F4F" w:rsidP="00FA0EEC">
            <w:pPr>
              <w:pStyle w:val="Corpotesto"/>
              <w:jc w:val="center"/>
              <w:rPr>
                <w:rFonts w:ascii="Titillium Web" w:hAnsi="Titillium Web"/>
                <w:b/>
                <w:color w:val="FFFFFF" w:themeColor="background1"/>
                <w:spacing w:val="-1"/>
                <w:sz w:val="14"/>
                <w:szCs w:val="14"/>
              </w:rPr>
            </w:pPr>
            <w:r w:rsidRPr="006E5276">
              <w:rPr>
                <w:rFonts w:ascii="Titillium Web" w:hAnsi="Titillium Web"/>
                <w:b/>
                <w:color w:val="FFFFFF" w:themeColor="background1"/>
                <w:spacing w:val="-1"/>
                <w:sz w:val="14"/>
                <w:szCs w:val="14"/>
              </w:rPr>
              <w:t>Cofinanziamento impresa -50%</w:t>
            </w:r>
          </w:p>
        </w:tc>
        <w:tc>
          <w:tcPr>
            <w:tcW w:w="1274" w:type="dxa"/>
            <w:tcBorders>
              <w:top w:val="single" w:sz="8" w:space="0" w:color="525252" w:themeColor="accent3" w:themeShade="80"/>
              <w:bottom w:val="single" w:sz="8" w:space="0" w:color="525252" w:themeColor="accent3" w:themeShade="80"/>
            </w:tcBorders>
            <w:shd w:val="clear" w:color="auto" w:fill="2F5496" w:themeFill="accent1" w:themeFillShade="BF"/>
            <w:vAlign w:val="center"/>
          </w:tcPr>
          <w:p w14:paraId="03B7076E" w14:textId="77777777" w:rsidR="00801F4F" w:rsidRPr="006E5276" w:rsidRDefault="00801F4F" w:rsidP="00FA0EEC">
            <w:pPr>
              <w:pStyle w:val="Corpotesto"/>
              <w:jc w:val="center"/>
              <w:rPr>
                <w:rFonts w:ascii="Titillium Web" w:hAnsi="Titillium Web"/>
                <w:b/>
                <w:color w:val="FFFFFF" w:themeColor="background1"/>
                <w:spacing w:val="-1"/>
                <w:sz w:val="14"/>
                <w:szCs w:val="14"/>
              </w:rPr>
            </w:pPr>
            <w:r w:rsidRPr="006E5276">
              <w:rPr>
                <w:rFonts w:ascii="Titillium Web" w:hAnsi="Titillium Web"/>
                <w:b/>
                <w:color w:val="FFFFFF" w:themeColor="background1"/>
                <w:spacing w:val="-1"/>
                <w:sz w:val="14"/>
                <w:szCs w:val="14"/>
              </w:rPr>
              <w:t>Somma forfettaria proposta (con arrotondamento)</w:t>
            </w:r>
          </w:p>
        </w:tc>
      </w:tr>
      <w:tr w:rsidR="00801F4F" w:rsidRPr="006E5276" w14:paraId="35638144" w14:textId="77777777" w:rsidTr="001B510D">
        <w:trPr>
          <w:trHeight w:val="426"/>
          <w:jc w:val="center"/>
        </w:trPr>
        <w:tc>
          <w:tcPr>
            <w:tcW w:w="774" w:type="dxa"/>
            <w:tcBorders>
              <w:top w:val="single" w:sz="8" w:space="0" w:color="525252" w:themeColor="accent3" w:themeShade="80"/>
              <w:bottom w:val="single" w:sz="8" w:space="0" w:color="525252" w:themeColor="accent3" w:themeShade="80"/>
              <w:right w:val="single" w:sz="8" w:space="0" w:color="525252" w:themeColor="accent3" w:themeShade="80"/>
            </w:tcBorders>
            <w:vAlign w:val="center"/>
          </w:tcPr>
          <w:p w14:paraId="0BE4DFA2" w14:textId="77777777" w:rsidR="00801F4F" w:rsidRPr="006E5276" w:rsidRDefault="00801F4F" w:rsidP="00FA0EEC">
            <w:pPr>
              <w:pStyle w:val="Corpotesto"/>
              <w:jc w:val="center"/>
              <w:rPr>
                <w:rFonts w:ascii="Titillium Web" w:hAnsi="Titillium Web"/>
                <w:spacing w:val="-1"/>
                <w:sz w:val="14"/>
                <w:szCs w:val="14"/>
              </w:rPr>
            </w:pPr>
            <w:r w:rsidRPr="006E5276">
              <w:rPr>
                <w:rFonts w:ascii="Titillium Web" w:hAnsi="Titillium Web"/>
                <w:spacing w:val="-1"/>
                <w:sz w:val="14"/>
                <w:szCs w:val="14"/>
              </w:rPr>
              <w:t>350,00</w:t>
            </w:r>
          </w:p>
        </w:tc>
        <w:tc>
          <w:tcPr>
            <w:tcW w:w="704" w:type="dxa"/>
            <w:tc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tcBorders>
            <w:vAlign w:val="center"/>
          </w:tcPr>
          <w:p w14:paraId="6663FD1A" w14:textId="77777777" w:rsidR="00801F4F" w:rsidRPr="006E5276" w:rsidRDefault="00801F4F" w:rsidP="00FA0EEC">
            <w:pPr>
              <w:pStyle w:val="Corpotesto"/>
              <w:jc w:val="center"/>
              <w:rPr>
                <w:rFonts w:ascii="Titillium Web" w:hAnsi="Titillium Web"/>
                <w:spacing w:val="-1"/>
                <w:sz w:val="14"/>
                <w:szCs w:val="14"/>
              </w:rPr>
            </w:pPr>
            <w:r w:rsidRPr="006E5276">
              <w:rPr>
                <w:rFonts w:ascii="Titillium Web" w:hAnsi="Titillium Web"/>
                <w:spacing w:val="-1"/>
                <w:sz w:val="14"/>
                <w:szCs w:val="14"/>
              </w:rPr>
              <w:t>giorno</w:t>
            </w:r>
          </w:p>
        </w:tc>
        <w:tc>
          <w:tcPr>
            <w:tcW w:w="619" w:type="dxa"/>
            <w:tc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tcBorders>
            <w:vAlign w:val="center"/>
          </w:tcPr>
          <w:p w14:paraId="24F1B194" w14:textId="77777777" w:rsidR="00801F4F" w:rsidRPr="006E5276" w:rsidRDefault="00801F4F" w:rsidP="00FA0EEC">
            <w:pPr>
              <w:pStyle w:val="Corpotesto"/>
              <w:jc w:val="center"/>
              <w:rPr>
                <w:rFonts w:ascii="Titillium Web" w:hAnsi="Titillium Web"/>
                <w:spacing w:val="-1"/>
                <w:sz w:val="14"/>
                <w:szCs w:val="14"/>
              </w:rPr>
            </w:pPr>
            <w:r w:rsidRPr="006E5276">
              <w:rPr>
                <w:rFonts w:ascii="Titillium Web" w:hAnsi="Titillium Web"/>
                <w:spacing w:val="-1"/>
                <w:sz w:val="14"/>
                <w:szCs w:val="14"/>
              </w:rPr>
              <w:t>3</w:t>
            </w:r>
          </w:p>
        </w:tc>
        <w:tc>
          <w:tcPr>
            <w:tcW w:w="871" w:type="dxa"/>
            <w:tc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tcBorders>
            <w:vAlign w:val="center"/>
          </w:tcPr>
          <w:p w14:paraId="67363A27" w14:textId="77777777" w:rsidR="00801F4F" w:rsidRPr="006E5276" w:rsidRDefault="00801F4F" w:rsidP="00FA0EEC">
            <w:pPr>
              <w:pStyle w:val="Corpotesto"/>
              <w:jc w:val="center"/>
              <w:rPr>
                <w:rFonts w:ascii="Titillium Web" w:hAnsi="Titillium Web"/>
                <w:spacing w:val="-1"/>
                <w:sz w:val="14"/>
                <w:szCs w:val="14"/>
              </w:rPr>
            </w:pPr>
            <w:r w:rsidRPr="006E5276">
              <w:rPr>
                <w:rFonts w:ascii="Titillium Web" w:hAnsi="Titillium Web"/>
                <w:spacing w:val="-1"/>
                <w:sz w:val="14"/>
                <w:szCs w:val="14"/>
              </w:rPr>
              <w:t>1.050,00</w:t>
            </w:r>
          </w:p>
        </w:tc>
        <w:tc>
          <w:tcPr>
            <w:tcW w:w="893" w:type="dxa"/>
            <w:tc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tcBorders>
            <w:vAlign w:val="center"/>
          </w:tcPr>
          <w:p w14:paraId="2661DDA2" w14:textId="77777777" w:rsidR="00801F4F" w:rsidRPr="006E5276" w:rsidRDefault="00801F4F" w:rsidP="00FA0EEC">
            <w:pPr>
              <w:pStyle w:val="Corpotesto"/>
              <w:jc w:val="center"/>
              <w:rPr>
                <w:rFonts w:ascii="Titillium Web" w:hAnsi="Titillium Web"/>
                <w:spacing w:val="-1"/>
                <w:sz w:val="14"/>
                <w:szCs w:val="14"/>
              </w:rPr>
            </w:pPr>
            <w:r w:rsidRPr="006E5276">
              <w:rPr>
                <w:rFonts w:ascii="Titillium Web" w:hAnsi="Titillium Web"/>
                <w:spacing w:val="-1"/>
                <w:sz w:val="14"/>
                <w:szCs w:val="14"/>
              </w:rPr>
              <w:t>210,00</w:t>
            </w:r>
          </w:p>
        </w:tc>
        <w:tc>
          <w:tcPr>
            <w:tcW w:w="893" w:type="dxa"/>
            <w:tc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tcBorders>
            <w:vAlign w:val="center"/>
          </w:tcPr>
          <w:p w14:paraId="1380662C" w14:textId="77777777" w:rsidR="00801F4F" w:rsidRPr="006E5276" w:rsidRDefault="00801F4F" w:rsidP="00FA0EEC">
            <w:pPr>
              <w:pStyle w:val="Corpotesto"/>
              <w:jc w:val="center"/>
              <w:rPr>
                <w:rFonts w:ascii="Titillium Web" w:hAnsi="Titillium Web"/>
                <w:spacing w:val="-1"/>
                <w:sz w:val="14"/>
                <w:szCs w:val="14"/>
              </w:rPr>
            </w:pPr>
            <w:r w:rsidRPr="006E5276">
              <w:rPr>
                <w:rFonts w:ascii="Titillium Web" w:hAnsi="Titillium Web"/>
                <w:spacing w:val="-1"/>
                <w:sz w:val="14"/>
                <w:szCs w:val="14"/>
              </w:rPr>
              <w:t>1.260,00</w:t>
            </w:r>
          </w:p>
        </w:tc>
        <w:tc>
          <w:tcPr>
            <w:tcW w:w="1084" w:type="dxa"/>
            <w:tc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tcBorders>
            <w:vAlign w:val="center"/>
          </w:tcPr>
          <w:p w14:paraId="3FDC630D" w14:textId="77777777" w:rsidR="00801F4F" w:rsidRPr="006E5276" w:rsidRDefault="00801F4F" w:rsidP="00FA0EEC">
            <w:pPr>
              <w:pStyle w:val="Corpotesto"/>
              <w:jc w:val="center"/>
              <w:rPr>
                <w:rFonts w:ascii="Titillium Web" w:hAnsi="Titillium Web"/>
                <w:spacing w:val="-1"/>
                <w:sz w:val="14"/>
                <w:szCs w:val="14"/>
              </w:rPr>
            </w:pPr>
            <w:r w:rsidRPr="006E5276">
              <w:rPr>
                <w:rFonts w:ascii="Titillium Web" w:hAnsi="Titillium Web"/>
                <w:spacing w:val="-1"/>
                <w:sz w:val="14"/>
                <w:szCs w:val="14"/>
              </w:rPr>
              <w:t>126,00</w:t>
            </w:r>
          </w:p>
        </w:tc>
        <w:tc>
          <w:tcPr>
            <w:tcW w:w="1226" w:type="dxa"/>
            <w:tc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tcBorders>
            <w:vAlign w:val="center"/>
          </w:tcPr>
          <w:p w14:paraId="04D0C4FD" w14:textId="77777777" w:rsidR="00801F4F" w:rsidRPr="006E5276" w:rsidRDefault="00801F4F" w:rsidP="00FA0EEC">
            <w:pPr>
              <w:pStyle w:val="Corpotesto"/>
              <w:jc w:val="center"/>
              <w:rPr>
                <w:rFonts w:ascii="Titillium Web" w:hAnsi="Titillium Web"/>
                <w:spacing w:val="-1"/>
                <w:sz w:val="14"/>
                <w:szCs w:val="14"/>
              </w:rPr>
            </w:pPr>
            <w:r w:rsidRPr="006E5276">
              <w:rPr>
                <w:rFonts w:ascii="Titillium Web" w:hAnsi="Titillium Web"/>
                <w:spacing w:val="-1"/>
                <w:sz w:val="14"/>
                <w:szCs w:val="14"/>
              </w:rPr>
              <w:t>1.368,00</w:t>
            </w:r>
          </w:p>
        </w:tc>
        <w:tc>
          <w:tcPr>
            <w:tcW w:w="1263" w:type="dxa"/>
            <w:tcBorders>
              <w:top w:val="single" w:sz="8" w:space="0" w:color="525252" w:themeColor="accent3" w:themeShade="80"/>
              <w:left w:val="single" w:sz="8" w:space="0" w:color="525252" w:themeColor="accent3" w:themeShade="80"/>
              <w:bottom w:val="single" w:sz="8" w:space="0" w:color="525252" w:themeColor="accent3" w:themeShade="80"/>
              <w:right w:val="single" w:sz="8" w:space="0" w:color="525252" w:themeColor="accent3" w:themeShade="80"/>
            </w:tcBorders>
            <w:vAlign w:val="center"/>
          </w:tcPr>
          <w:p w14:paraId="5821DA87" w14:textId="77777777" w:rsidR="00801F4F" w:rsidRPr="006E5276" w:rsidRDefault="00801F4F" w:rsidP="00FA0EEC">
            <w:pPr>
              <w:pStyle w:val="Corpotesto"/>
              <w:jc w:val="center"/>
              <w:rPr>
                <w:rFonts w:ascii="Titillium Web" w:hAnsi="Titillium Web"/>
                <w:spacing w:val="-1"/>
                <w:sz w:val="14"/>
                <w:szCs w:val="14"/>
              </w:rPr>
            </w:pPr>
            <w:r w:rsidRPr="006E5276">
              <w:rPr>
                <w:rFonts w:ascii="Titillium Web" w:hAnsi="Titillium Web"/>
                <w:spacing w:val="-1"/>
                <w:sz w:val="14"/>
                <w:szCs w:val="14"/>
              </w:rPr>
              <w:t>693,00</w:t>
            </w:r>
          </w:p>
        </w:tc>
        <w:tc>
          <w:tcPr>
            <w:tcW w:w="1274" w:type="dxa"/>
            <w:tcBorders>
              <w:top w:val="single" w:sz="8" w:space="0" w:color="525252" w:themeColor="accent3" w:themeShade="80"/>
              <w:left w:val="single" w:sz="8" w:space="0" w:color="525252" w:themeColor="accent3" w:themeShade="80"/>
              <w:bottom w:val="single" w:sz="8" w:space="0" w:color="525252" w:themeColor="accent3" w:themeShade="80"/>
            </w:tcBorders>
            <w:vAlign w:val="center"/>
          </w:tcPr>
          <w:p w14:paraId="25C944DC" w14:textId="77777777" w:rsidR="00801F4F" w:rsidRPr="006E5276" w:rsidRDefault="00801F4F" w:rsidP="00FA0EEC">
            <w:pPr>
              <w:pStyle w:val="Corpotesto"/>
              <w:keepNext/>
              <w:jc w:val="center"/>
              <w:rPr>
                <w:rFonts w:ascii="Titillium Web" w:hAnsi="Titillium Web"/>
                <w:b/>
                <w:spacing w:val="-1"/>
                <w:sz w:val="14"/>
                <w:szCs w:val="14"/>
              </w:rPr>
            </w:pPr>
            <w:r w:rsidRPr="006E5276">
              <w:rPr>
                <w:rFonts w:ascii="Titillium Web" w:hAnsi="Titillium Web"/>
                <w:b/>
                <w:spacing w:val="-1"/>
                <w:sz w:val="14"/>
                <w:szCs w:val="14"/>
              </w:rPr>
              <w:t>€ 700,00</w:t>
            </w:r>
          </w:p>
        </w:tc>
      </w:tr>
    </w:tbl>
    <w:p w14:paraId="7DB5B889" w14:textId="77777777" w:rsidR="00801F4F" w:rsidRPr="006E5276" w:rsidRDefault="00801F4F" w:rsidP="00801F4F">
      <w:pPr>
        <w:spacing w:before="240"/>
        <w:rPr>
          <w:szCs w:val="22"/>
        </w:rPr>
      </w:pPr>
      <w:r w:rsidRPr="006E5276">
        <w:rPr>
          <w:szCs w:val="22"/>
        </w:rPr>
        <w:t>Per quanto riguarda, invece le attività D1 e D2 dell’Avviso, il metodo di calcolo che si propone di applicare alle predette attività è desunto dal Bando Innodriver - S3 – Edizione 2019 – Misura C promosso dalla Regione Lombardia</w:t>
      </w:r>
      <w:r>
        <w:rPr>
          <w:szCs w:val="22"/>
        </w:rPr>
        <w:t>.</w:t>
      </w:r>
    </w:p>
    <w:p w14:paraId="3F75643E" w14:textId="77777777" w:rsidR="00801F4F" w:rsidRDefault="00801F4F" w:rsidP="00801F4F">
      <w:pPr>
        <w:rPr>
          <w:szCs w:val="22"/>
        </w:rPr>
      </w:pPr>
      <w:r w:rsidRPr="006E5276">
        <w:rPr>
          <w:szCs w:val="22"/>
        </w:rPr>
        <w:t>A seguito dell’analisi degli atti è emerso che le modalità di calcolo individuate per la concessione di finanziamenti basati su somme forfettarie si riferiscono a tipologie analoghe di attività e di beneficiari.</w:t>
      </w:r>
    </w:p>
    <w:p w14:paraId="15937DC3" w14:textId="77777777" w:rsidR="00801F4F" w:rsidRPr="00F86D45" w:rsidRDefault="00801F4F" w:rsidP="00801F4F">
      <w:pPr>
        <w:rPr>
          <w:szCs w:val="22"/>
        </w:rPr>
      </w:pPr>
      <w:r w:rsidRPr="00F86D45">
        <w:rPr>
          <w:szCs w:val="22"/>
        </w:rPr>
        <w:t>Qui è necessario precisare che per la natura delle attività e degli attori coinvolti nella determinazione del metodo di calcolo, per i casi specifici interessati, non influiscono variabili di tipo economico e/o geografico e che, pertanto, il metodo di calcolo individuato potrà essere adottato nella sua integralità senza la necessità di ulteriori adattamenti ai diversi contesti regionali.</w:t>
      </w:r>
    </w:p>
    <w:p w14:paraId="564C5025" w14:textId="77777777" w:rsidR="00801F4F" w:rsidRPr="006E5276" w:rsidRDefault="00801F4F" w:rsidP="00801F4F">
      <w:pPr>
        <w:spacing w:after="240"/>
        <w:rPr>
          <w:szCs w:val="22"/>
        </w:rPr>
      </w:pPr>
      <w:r w:rsidRPr="006E5276">
        <w:rPr>
          <w:szCs w:val="22"/>
        </w:rPr>
        <w:t>A mero titolo informativo si riporta la tabella con gli esiti di calcolo che individuano le somme forfettarie da applicare per le attività D1 e D2 dell’Avviso:</w:t>
      </w:r>
    </w:p>
    <w:tbl>
      <w:tblPr>
        <w:tblStyle w:val="TableNormal1"/>
        <w:tblW w:w="0" w:type="auto"/>
        <w:jc w:val="center"/>
        <w:tblBorders>
          <w:top w:val="single" w:sz="8" w:space="0" w:color="CFCA03"/>
          <w:left w:val="single" w:sz="8" w:space="0" w:color="CFCA03"/>
          <w:bottom w:val="single" w:sz="8" w:space="0" w:color="CFCA03"/>
          <w:right w:val="single" w:sz="8" w:space="0" w:color="CFCA03"/>
          <w:insideH w:val="single" w:sz="8" w:space="0" w:color="CFCA03"/>
          <w:insideV w:val="single" w:sz="8" w:space="0" w:color="CFCA03"/>
        </w:tblBorders>
        <w:tblLayout w:type="fixed"/>
        <w:tblLook w:val="01E0" w:firstRow="1" w:lastRow="1" w:firstColumn="1" w:lastColumn="1" w:noHBand="0" w:noVBand="0"/>
      </w:tblPr>
      <w:tblGrid>
        <w:gridCol w:w="3210"/>
        <w:gridCol w:w="2384"/>
        <w:gridCol w:w="2268"/>
      </w:tblGrid>
      <w:tr w:rsidR="00801F4F" w:rsidRPr="006E5276" w14:paraId="3F5CCC8A" w14:textId="77777777" w:rsidTr="00FA0EEC">
        <w:trPr>
          <w:trHeight w:val="426"/>
          <w:jc w:val="center"/>
        </w:trPr>
        <w:tc>
          <w:tcPr>
            <w:tcW w:w="3210" w:type="dxa"/>
            <w:shd w:val="clear" w:color="auto" w:fill="2F5496" w:themeFill="accent1" w:themeFillShade="BF"/>
            <w:vAlign w:val="center"/>
          </w:tcPr>
          <w:p w14:paraId="48AB7F05" w14:textId="77777777" w:rsidR="00801F4F" w:rsidRPr="006E5276" w:rsidRDefault="00801F4F" w:rsidP="00FA0EEC">
            <w:pPr>
              <w:pStyle w:val="TableParagraph"/>
              <w:ind w:left="635" w:right="629"/>
              <w:jc w:val="center"/>
              <w:rPr>
                <w:rFonts w:ascii="Titillium Web" w:hAnsi="Titillium Web"/>
                <w:b/>
                <w:color w:val="FFFFFF" w:themeColor="background1"/>
                <w:sz w:val="14"/>
                <w:szCs w:val="14"/>
                <w:lang w:val="it-IT"/>
              </w:rPr>
            </w:pPr>
            <w:r w:rsidRPr="006E5276">
              <w:rPr>
                <w:rFonts w:ascii="Titillium Web" w:hAnsi="Titillium Web"/>
                <w:b/>
                <w:color w:val="FFFFFF" w:themeColor="background1"/>
                <w:sz w:val="14"/>
                <w:szCs w:val="14"/>
                <w:lang w:val="it-IT"/>
              </w:rPr>
              <w:t>Costi</w:t>
            </w:r>
          </w:p>
        </w:tc>
        <w:tc>
          <w:tcPr>
            <w:tcW w:w="2384" w:type="dxa"/>
            <w:shd w:val="clear" w:color="auto" w:fill="2F5496" w:themeFill="accent1" w:themeFillShade="BF"/>
            <w:vAlign w:val="center"/>
          </w:tcPr>
          <w:p w14:paraId="7634CC03" w14:textId="77777777" w:rsidR="00801F4F" w:rsidRPr="006E5276" w:rsidRDefault="00801F4F" w:rsidP="00FA0EEC">
            <w:pPr>
              <w:pStyle w:val="TableParagraph"/>
              <w:jc w:val="center"/>
              <w:rPr>
                <w:rFonts w:ascii="Titillium Web" w:hAnsi="Titillium Web"/>
                <w:b/>
                <w:color w:val="FFFFFF" w:themeColor="background1"/>
                <w:sz w:val="14"/>
                <w:szCs w:val="14"/>
                <w:lang w:val="it-IT"/>
              </w:rPr>
            </w:pPr>
            <w:r w:rsidRPr="006E5276">
              <w:rPr>
                <w:rFonts w:ascii="Titillium Web" w:hAnsi="Titillium Web"/>
                <w:b/>
                <w:color w:val="FFFFFF" w:themeColor="background1"/>
                <w:sz w:val="14"/>
                <w:szCs w:val="14"/>
                <w:lang w:val="it-IT"/>
              </w:rPr>
              <w:t>Brevettazione</w:t>
            </w:r>
            <w:r w:rsidRPr="006E5276">
              <w:rPr>
                <w:rFonts w:ascii="Titillium Web" w:hAnsi="Titillium Web"/>
                <w:b/>
                <w:color w:val="FFFFFF" w:themeColor="background1"/>
                <w:spacing w:val="-2"/>
                <w:sz w:val="14"/>
                <w:szCs w:val="14"/>
                <w:lang w:val="it-IT"/>
              </w:rPr>
              <w:t xml:space="preserve"> </w:t>
            </w:r>
            <w:r w:rsidRPr="006E5276">
              <w:rPr>
                <w:rFonts w:ascii="Titillium Web" w:hAnsi="Titillium Web"/>
                <w:b/>
                <w:color w:val="FFFFFF" w:themeColor="background1"/>
                <w:sz w:val="14"/>
                <w:szCs w:val="14"/>
                <w:lang w:val="it-IT"/>
              </w:rPr>
              <w:t>Europea</w:t>
            </w:r>
          </w:p>
          <w:p w14:paraId="62839031" w14:textId="77777777" w:rsidR="00801F4F" w:rsidRPr="006E5276" w:rsidRDefault="00801F4F" w:rsidP="00FA0EEC">
            <w:pPr>
              <w:pStyle w:val="TableParagraph"/>
              <w:jc w:val="center"/>
              <w:rPr>
                <w:rFonts w:ascii="Titillium Web" w:hAnsi="Titillium Web"/>
                <w:b/>
                <w:color w:val="FFFFFF" w:themeColor="background1"/>
                <w:sz w:val="14"/>
                <w:szCs w:val="14"/>
                <w:lang w:val="it-IT"/>
              </w:rPr>
            </w:pPr>
            <w:r w:rsidRPr="006E5276">
              <w:rPr>
                <w:rFonts w:ascii="Titillium Web" w:hAnsi="Titillium Web"/>
                <w:b/>
                <w:color w:val="FFFFFF" w:themeColor="background1"/>
                <w:sz w:val="14"/>
                <w:szCs w:val="14"/>
                <w:lang w:val="it-IT"/>
              </w:rPr>
              <w:t>(D1)</w:t>
            </w:r>
          </w:p>
        </w:tc>
        <w:tc>
          <w:tcPr>
            <w:tcW w:w="2268" w:type="dxa"/>
            <w:shd w:val="clear" w:color="auto" w:fill="2F5496" w:themeFill="accent1" w:themeFillShade="BF"/>
            <w:vAlign w:val="center"/>
          </w:tcPr>
          <w:p w14:paraId="6C3F8070" w14:textId="77777777" w:rsidR="00801F4F" w:rsidRPr="006E5276" w:rsidRDefault="00801F4F" w:rsidP="00FA0EEC">
            <w:pPr>
              <w:pStyle w:val="TableParagraph"/>
              <w:jc w:val="center"/>
              <w:rPr>
                <w:rFonts w:ascii="Titillium Web" w:hAnsi="Titillium Web"/>
                <w:b/>
                <w:color w:val="FFFFFF" w:themeColor="background1"/>
                <w:sz w:val="14"/>
                <w:szCs w:val="14"/>
                <w:lang w:val="it-IT"/>
              </w:rPr>
            </w:pPr>
            <w:r w:rsidRPr="006E5276">
              <w:rPr>
                <w:rFonts w:ascii="Titillium Web" w:hAnsi="Titillium Web"/>
                <w:b/>
                <w:color w:val="FFFFFF" w:themeColor="background1"/>
                <w:sz w:val="14"/>
                <w:szCs w:val="14"/>
                <w:lang w:val="it-IT"/>
              </w:rPr>
              <w:t>Brevettazione Internazionale</w:t>
            </w:r>
          </w:p>
          <w:p w14:paraId="5B2F4451" w14:textId="77777777" w:rsidR="00801F4F" w:rsidRPr="006E5276" w:rsidRDefault="00801F4F" w:rsidP="00FA0EEC">
            <w:pPr>
              <w:pStyle w:val="TableParagraph"/>
              <w:jc w:val="center"/>
              <w:rPr>
                <w:rFonts w:ascii="Titillium Web" w:hAnsi="Titillium Web"/>
                <w:b/>
                <w:color w:val="FFFFFF" w:themeColor="background1"/>
                <w:sz w:val="14"/>
                <w:szCs w:val="14"/>
                <w:lang w:val="it-IT"/>
              </w:rPr>
            </w:pPr>
            <w:r w:rsidRPr="006E5276">
              <w:rPr>
                <w:rFonts w:ascii="Titillium Web" w:hAnsi="Titillium Web"/>
                <w:b/>
                <w:color w:val="FFFFFF" w:themeColor="background1"/>
                <w:sz w:val="14"/>
                <w:szCs w:val="14"/>
                <w:lang w:val="it-IT"/>
              </w:rPr>
              <w:t>(D2)</w:t>
            </w:r>
          </w:p>
        </w:tc>
      </w:tr>
      <w:tr w:rsidR="00801F4F" w:rsidRPr="006E5276" w14:paraId="3D859D87" w14:textId="77777777" w:rsidTr="00FA0EEC">
        <w:trPr>
          <w:trHeight w:val="20"/>
          <w:jc w:val="center"/>
        </w:trPr>
        <w:tc>
          <w:tcPr>
            <w:tcW w:w="3210" w:type="dxa"/>
            <w:vAlign w:val="center"/>
          </w:tcPr>
          <w:p w14:paraId="661FA04C" w14:textId="77777777" w:rsidR="00801F4F" w:rsidRPr="006E5276" w:rsidRDefault="00801F4F" w:rsidP="00FA0EEC">
            <w:pPr>
              <w:pStyle w:val="TableParagraph"/>
              <w:ind w:left="69"/>
              <w:rPr>
                <w:rFonts w:ascii="Titillium Web" w:hAnsi="Titillium Web"/>
                <w:b/>
                <w:i/>
                <w:sz w:val="14"/>
                <w:szCs w:val="14"/>
                <w:lang w:val="it-IT"/>
              </w:rPr>
            </w:pPr>
            <w:r w:rsidRPr="006E5276">
              <w:rPr>
                <w:rFonts w:ascii="Titillium Web" w:hAnsi="Titillium Web"/>
                <w:b/>
                <w:i/>
                <w:sz w:val="14"/>
                <w:szCs w:val="14"/>
                <w:lang w:val="it-IT"/>
              </w:rPr>
              <w:t>A)</w:t>
            </w:r>
            <w:r w:rsidRPr="006E5276">
              <w:rPr>
                <w:rFonts w:ascii="Titillium Web" w:hAnsi="Titillium Web"/>
                <w:b/>
                <w:i/>
                <w:spacing w:val="-1"/>
                <w:sz w:val="14"/>
                <w:szCs w:val="14"/>
                <w:lang w:val="it-IT"/>
              </w:rPr>
              <w:t xml:space="preserve"> </w:t>
            </w:r>
            <w:r w:rsidRPr="006E5276">
              <w:rPr>
                <w:rFonts w:ascii="Titillium Web" w:hAnsi="Titillium Web"/>
                <w:b/>
                <w:i/>
                <w:sz w:val="14"/>
                <w:szCs w:val="14"/>
                <w:lang w:val="it-IT"/>
              </w:rPr>
              <w:t>Totale</w:t>
            </w:r>
            <w:r w:rsidRPr="006E5276">
              <w:rPr>
                <w:rFonts w:ascii="Titillium Web" w:hAnsi="Titillium Web"/>
                <w:b/>
                <w:i/>
                <w:spacing w:val="-1"/>
                <w:sz w:val="14"/>
                <w:szCs w:val="14"/>
                <w:lang w:val="it-IT"/>
              </w:rPr>
              <w:t xml:space="preserve"> </w:t>
            </w:r>
            <w:r w:rsidRPr="006E5276">
              <w:rPr>
                <w:rFonts w:ascii="Titillium Web" w:hAnsi="Titillium Web"/>
                <w:b/>
                <w:i/>
                <w:sz w:val="14"/>
                <w:szCs w:val="14"/>
                <w:lang w:val="it-IT"/>
              </w:rPr>
              <w:t>spese deposito</w:t>
            </w:r>
          </w:p>
        </w:tc>
        <w:tc>
          <w:tcPr>
            <w:tcW w:w="2384" w:type="dxa"/>
            <w:vAlign w:val="center"/>
          </w:tcPr>
          <w:p w14:paraId="66557F77" w14:textId="77777777" w:rsidR="00801F4F" w:rsidRPr="006E5276" w:rsidRDefault="00801F4F" w:rsidP="00FA0EEC">
            <w:pPr>
              <w:pStyle w:val="TableParagraph"/>
              <w:jc w:val="center"/>
              <w:rPr>
                <w:rFonts w:ascii="Titillium Web" w:hAnsi="Titillium Web"/>
                <w:b/>
                <w:i/>
                <w:sz w:val="14"/>
                <w:szCs w:val="14"/>
                <w:lang w:val="it-IT"/>
              </w:rPr>
            </w:pPr>
            <w:r w:rsidRPr="006E5276">
              <w:rPr>
                <w:rFonts w:ascii="Titillium Web" w:hAnsi="Titillium Web"/>
                <w:b/>
                <w:i/>
                <w:sz w:val="14"/>
                <w:szCs w:val="14"/>
                <w:lang w:val="it-IT"/>
              </w:rPr>
              <w:t>€</w:t>
            </w:r>
            <w:r w:rsidRPr="006E5276">
              <w:rPr>
                <w:rFonts w:ascii="Titillium Web" w:hAnsi="Titillium Web"/>
                <w:b/>
                <w:i/>
                <w:spacing w:val="-2"/>
                <w:sz w:val="14"/>
                <w:szCs w:val="14"/>
                <w:lang w:val="it-IT"/>
              </w:rPr>
              <w:t xml:space="preserve"> </w:t>
            </w:r>
            <w:r w:rsidRPr="006E5276">
              <w:rPr>
                <w:rFonts w:ascii="Titillium Web" w:hAnsi="Titillium Web"/>
                <w:b/>
                <w:i/>
                <w:sz w:val="14"/>
                <w:szCs w:val="14"/>
                <w:lang w:val="it-IT"/>
              </w:rPr>
              <w:t>1.540,00</w:t>
            </w:r>
          </w:p>
        </w:tc>
        <w:tc>
          <w:tcPr>
            <w:tcW w:w="2268" w:type="dxa"/>
            <w:vAlign w:val="center"/>
          </w:tcPr>
          <w:p w14:paraId="7907DBBB" w14:textId="77777777" w:rsidR="00801F4F" w:rsidRPr="006E5276" w:rsidRDefault="00801F4F" w:rsidP="00FA0EEC">
            <w:pPr>
              <w:pStyle w:val="TableParagraph"/>
              <w:jc w:val="center"/>
              <w:rPr>
                <w:rFonts w:ascii="Titillium Web" w:hAnsi="Titillium Web"/>
                <w:b/>
                <w:i/>
                <w:sz w:val="14"/>
                <w:szCs w:val="14"/>
                <w:lang w:val="it-IT"/>
              </w:rPr>
            </w:pPr>
            <w:r w:rsidRPr="006E5276">
              <w:rPr>
                <w:rFonts w:ascii="Titillium Web" w:hAnsi="Titillium Web"/>
                <w:b/>
                <w:i/>
                <w:sz w:val="14"/>
                <w:szCs w:val="14"/>
                <w:lang w:val="it-IT"/>
              </w:rPr>
              <w:t>€</w:t>
            </w:r>
            <w:r w:rsidRPr="006E5276">
              <w:rPr>
                <w:rFonts w:ascii="Titillium Web" w:hAnsi="Titillium Web"/>
                <w:b/>
                <w:i/>
                <w:spacing w:val="-2"/>
                <w:sz w:val="14"/>
                <w:szCs w:val="14"/>
                <w:lang w:val="it-IT"/>
              </w:rPr>
              <w:t xml:space="preserve"> </w:t>
            </w:r>
            <w:r w:rsidRPr="006E5276">
              <w:rPr>
                <w:rFonts w:ascii="Titillium Web" w:hAnsi="Titillium Web"/>
                <w:b/>
                <w:i/>
                <w:sz w:val="14"/>
                <w:szCs w:val="14"/>
                <w:lang w:val="it-IT"/>
              </w:rPr>
              <w:t>3.094,99</w:t>
            </w:r>
          </w:p>
        </w:tc>
      </w:tr>
      <w:tr w:rsidR="00801F4F" w:rsidRPr="006E5276" w14:paraId="00EEAEE2" w14:textId="77777777" w:rsidTr="00FA0EEC">
        <w:trPr>
          <w:trHeight w:val="20"/>
          <w:jc w:val="center"/>
        </w:trPr>
        <w:tc>
          <w:tcPr>
            <w:tcW w:w="3210" w:type="dxa"/>
            <w:vAlign w:val="center"/>
          </w:tcPr>
          <w:p w14:paraId="49F922FA" w14:textId="77777777" w:rsidR="00801F4F" w:rsidRPr="006E5276" w:rsidRDefault="00801F4F" w:rsidP="00FA0EEC">
            <w:pPr>
              <w:pStyle w:val="TableParagraph"/>
              <w:ind w:left="69"/>
              <w:rPr>
                <w:rFonts w:ascii="Titillium Web" w:hAnsi="Titillium Web"/>
                <w:sz w:val="14"/>
                <w:szCs w:val="14"/>
                <w:lang w:val="it-IT"/>
              </w:rPr>
            </w:pPr>
            <w:r w:rsidRPr="006E5276">
              <w:rPr>
                <w:rFonts w:ascii="Titillium Web" w:hAnsi="Titillium Web"/>
                <w:sz w:val="14"/>
                <w:szCs w:val="14"/>
                <w:lang w:val="it-IT"/>
              </w:rPr>
              <w:t>Spese</w:t>
            </w:r>
            <w:r w:rsidRPr="006E5276">
              <w:rPr>
                <w:rFonts w:ascii="Titillium Web" w:hAnsi="Titillium Web"/>
                <w:spacing w:val="-3"/>
                <w:sz w:val="14"/>
                <w:szCs w:val="14"/>
                <w:lang w:val="it-IT"/>
              </w:rPr>
              <w:t xml:space="preserve"> </w:t>
            </w:r>
            <w:r w:rsidRPr="006E5276">
              <w:rPr>
                <w:rFonts w:ascii="Titillium Web" w:hAnsi="Titillium Web"/>
                <w:sz w:val="14"/>
                <w:szCs w:val="14"/>
                <w:lang w:val="it-IT"/>
              </w:rPr>
              <w:t>di</w:t>
            </w:r>
            <w:r w:rsidRPr="006E5276">
              <w:rPr>
                <w:rFonts w:ascii="Titillium Web" w:hAnsi="Titillium Web"/>
                <w:spacing w:val="-2"/>
                <w:sz w:val="14"/>
                <w:szCs w:val="14"/>
                <w:lang w:val="it-IT"/>
              </w:rPr>
              <w:t xml:space="preserve"> </w:t>
            </w:r>
            <w:r w:rsidRPr="006E5276">
              <w:rPr>
                <w:rFonts w:ascii="Titillium Web" w:hAnsi="Titillium Web"/>
                <w:sz w:val="14"/>
                <w:szCs w:val="14"/>
                <w:lang w:val="it-IT"/>
              </w:rPr>
              <w:t>consulenza</w:t>
            </w:r>
          </w:p>
        </w:tc>
        <w:tc>
          <w:tcPr>
            <w:tcW w:w="2384" w:type="dxa"/>
            <w:vAlign w:val="center"/>
          </w:tcPr>
          <w:p w14:paraId="75BFAFFA" w14:textId="77777777" w:rsidR="00801F4F" w:rsidRPr="006E5276" w:rsidRDefault="00801F4F" w:rsidP="00FA0EEC">
            <w:pPr>
              <w:pStyle w:val="TableParagraph"/>
              <w:jc w:val="center"/>
              <w:rPr>
                <w:rFonts w:ascii="Titillium Web" w:hAnsi="Titillium Web"/>
                <w:sz w:val="14"/>
                <w:szCs w:val="14"/>
                <w:lang w:val="it-IT"/>
              </w:rPr>
            </w:pPr>
            <w:r w:rsidRPr="006E5276">
              <w:rPr>
                <w:rFonts w:ascii="Titillium Web" w:hAnsi="Titillium Web"/>
                <w:sz w:val="14"/>
                <w:szCs w:val="14"/>
                <w:lang w:val="it-IT"/>
              </w:rPr>
              <w:t>€</w:t>
            </w:r>
            <w:r w:rsidRPr="006E5276">
              <w:rPr>
                <w:rFonts w:ascii="Titillium Web" w:hAnsi="Titillium Web"/>
                <w:spacing w:val="-2"/>
                <w:sz w:val="14"/>
                <w:szCs w:val="14"/>
                <w:lang w:val="it-IT"/>
              </w:rPr>
              <w:t xml:space="preserve"> </w:t>
            </w:r>
            <w:r w:rsidRPr="006E5276">
              <w:rPr>
                <w:rFonts w:ascii="Titillium Web" w:hAnsi="Titillium Web"/>
                <w:sz w:val="14"/>
                <w:szCs w:val="14"/>
                <w:lang w:val="it-IT"/>
              </w:rPr>
              <w:t>3.323,41</w:t>
            </w:r>
          </w:p>
        </w:tc>
        <w:tc>
          <w:tcPr>
            <w:tcW w:w="2268" w:type="dxa"/>
            <w:vAlign w:val="center"/>
          </w:tcPr>
          <w:p w14:paraId="55CEFDE2" w14:textId="77777777" w:rsidR="00801F4F" w:rsidRPr="006E5276" w:rsidRDefault="00801F4F" w:rsidP="00FA0EEC">
            <w:pPr>
              <w:pStyle w:val="TableParagraph"/>
              <w:jc w:val="center"/>
              <w:rPr>
                <w:rFonts w:ascii="Titillium Web" w:hAnsi="Titillium Web"/>
                <w:sz w:val="14"/>
                <w:szCs w:val="14"/>
                <w:lang w:val="it-IT"/>
              </w:rPr>
            </w:pPr>
            <w:r w:rsidRPr="006E5276">
              <w:rPr>
                <w:rFonts w:ascii="Titillium Web" w:hAnsi="Titillium Web"/>
                <w:sz w:val="14"/>
                <w:szCs w:val="14"/>
                <w:lang w:val="it-IT"/>
              </w:rPr>
              <w:t>€</w:t>
            </w:r>
            <w:r w:rsidRPr="006E5276">
              <w:rPr>
                <w:rFonts w:ascii="Titillium Web" w:hAnsi="Titillium Web"/>
                <w:spacing w:val="-2"/>
                <w:sz w:val="14"/>
                <w:szCs w:val="14"/>
                <w:lang w:val="it-IT"/>
              </w:rPr>
              <w:t xml:space="preserve"> </w:t>
            </w:r>
            <w:r w:rsidRPr="006E5276">
              <w:rPr>
                <w:rFonts w:ascii="Titillium Web" w:hAnsi="Titillium Web"/>
                <w:sz w:val="14"/>
                <w:szCs w:val="14"/>
                <w:lang w:val="it-IT"/>
              </w:rPr>
              <w:t>3.323,41</w:t>
            </w:r>
          </w:p>
        </w:tc>
      </w:tr>
      <w:tr w:rsidR="00801F4F" w:rsidRPr="006E5276" w14:paraId="671AF14C" w14:textId="77777777" w:rsidTr="00FA0EEC">
        <w:trPr>
          <w:trHeight w:val="20"/>
          <w:jc w:val="center"/>
        </w:trPr>
        <w:tc>
          <w:tcPr>
            <w:tcW w:w="3210" w:type="dxa"/>
            <w:vAlign w:val="center"/>
          </w:tcPr>
          <w:p w14:paraId="5FB7B72B" w14:textId="77777777" w:rsidR="00801F4F" w:rsidRPr="006E5276" w:rsidRDefault="00801F4F" w:rsidP="00FA0EEC">
            <w:pPr>
              <w:pStyle w:val="TableParagraph"/>
              <w:ind w:left="69"/>
              <w:rPr>
                <w:rFonts w:ascii="Titillium Web" w:hAnsi="Titillium Web"/>
                <w:sz w:val="14"/>
                <w:szCs w:val="14"/>
                <w:lang w:val="it-IT"/>
              </w:rPr>
            </w:pPr>
            <w:r w:rsidRPr="006E5276">
              <w:rPr>
                <w:rFonts w:ascii="Titillium Web" w:hAnsi="Titillium Web"/>
                <w:sz w:val="14"/>
                <w:szCs w:val="14"/>
                <w:lang w:val="it-IT"/>
              </w:rPr>
              <w:t>Spese</w:t>
            </w:r>
            <w:r w:rsidRPr="006E5276">
              <w:rPr>
                <w:rFonts w:ascii="Titillium Web" w:hAnsi="Titillium Web"/>
                <w:spacing w:val="-4"/>
                <w:sz w:val="14"/>
                <w:szCs w:val="14"/>
                <w:lang w:val="it-IT"/>
              </w:rPr>
              <w:t xml:space="preserve"> </w:t>
            </w:r>
            <w:r w:rsidRPr="006E5276">
              <w:rPr>
                <w:rFonts w:ascii="Titillium Web" w:hAnsi="Titillium Web"/>
                <w:sz w:val="14"/>
                <w:szCs w:val="14"/>
                <w:lang w:val="it-IT"/>
              </w:rPr>
              <w:t>di</w:t>
            </w:r>
            <w:r w:rsidRPr="006E5276">
              <w:rPr>
                <w:rFonts w:ascii="Titillium Web" w:hAnsi="Titillium Web"/>
                <w:spacing w:val="-3"/>
                <w:sz w:val="14"/>
                <w:szCs w:val="14"/>
                <w:lang w:val="it-IT"/>
              </w:rPr>
              <w:t xml:space="preserve"> </w:t>
            </w:r>
            <w:r w:rsidRPr="006E5276">
              <w:rPr>
                <w:rFonts w:ascii="Titillium Web" w:hAnsi="Titillium Web"/>
                <w:sz w:val="14"/>
                <w:szCs w:val="14"/>
                <w:lang w:val="it-IT"/>
              </w:rPr>
              <w:t>traduzione</w:t>
            </w:r>
          </w:p>
        </w:tc>
        <w:tc>
          <w:tcPr>
            <w:tcW w:w="2384" w:type="dxa"/>
            <w:vAlign w:val="center"/>
          </w:tcPr>
          <w:p w14:paraId="25FAC6C3" w14:textId="77777777" w:rsidR="00801F4F" w:rsidRPr="006E5276" w:rsidRDefault="00801F4F" w:rsidP="00FA0EEC">
            <w:pPr>
              <w:pStyle w:val="TableParagraph"/>
              <w:jc w:val="center"/>
              <w:rPr>
                <w:rFonts w:ascii="Titillium Web" w:hAnsi="Titillium Web"/>
                <w:sz w:val="14"/>
                <w:szCs w:val="14"/>
                <w:lang w:val="it-IT"/>
              </w:rPr>
            </w:pPr>
            <w:r w:rsidRPr="006E5276">
              <w:rPr>
                <w:rFonts w:ascii="Titillium Web" w:hAnsi="Titillium Web"/>
                <w:sz w:val="14"/>
                <w:szCs w:val="14"/>
                <w:lang w:val="it-IT"/>
              </w:rPr>
              <w:t>€</w:t>
            </w:r>
            <w:r w:rsidRPr="006E5276">
              <w:rPr>
                <w:rFonts w:ascii="Titillium Web" w:hAnsi="Titillium Web"/>
                <w:spacing w:val="-2"/>
                <w:sz w:val="14"/>
                <w:szCs w:val="14"/>
                <w:lang w:val="it-IT"/>
              </w:rPr>
              <w:t xml:space="preserve"> </w:t>
            </w:r>
            <w:r w:rsidRPr="006E5276">
              <w:rPr>
                <w:rFonts w:ascii="Titillium Web" w:hAnsi="Titillium Web"/>
                <w:sz w:val="14"/>
                <w:szCs w:val="14"/>
                <w:lang w:val="it-IT"/>
              </w:rPr>
              <w:t>1.090,26</w:t>
            </w:r>
          </w:p>
        </w:tc>
        <w:tc>
          <w:tcPr>
            <w:tcW w:w="2268" w:type="dxa"/>
            <w:vAlign w:val="center"/>
          </w:tcPr>
          <w:p w14:paraId="20A7F97D" w14:textId="77777777" w:rsidR="00801F4F" w:rsidRPr="006E5276" w:rsidRDefault="00801F4F" w:rsidP="00FA0EEC">
            <w:pPr>
              <w:pStyle w:val="TableParagraph"/>
              <w:jc w:val="center"/>
              <w:rPr>
                <w:rFonts w:ascii="Titillium Web" w:hAnsi="Titillium Web"/>
                <w:sz w:val="14"/>
                <w:szCs w:val="14"/>
                <w:lang w:val="it-IT"/>
              </w:rPr>
            </w:pPr>
            <w:r w:rsidRPr="006E5276">
              <w:rPr>
                <w:rFonts w:ascii="Titillium Web" w:hAnsi="Titillium Web"/>
                <w:sz w:val="14"/>
                <w:szCs w:val="14"/>
                <w:lang w:val="it-IT"/>
              </w:rPr>
              <w:t>€</w:t>
            </w:r>
            <w:r w:rsidRPr="006E5276">
              <w:rPr>
                <w:rFonts w:ascii="Titillium Web" w:hAnsi="Titillium Web"/>
                <w:spacing w:val="-2"/>
                <w:sz w:val="14"/>
                <w:szCs w:val="14"/>
                <w:lang w:val="it-IT"/>
              </w:rPr>
              <w:t xml:space="preserve"> </w:t>
            </w:r>
            <w:r w:rsidRPr="006E5276">
              <w:rPr>
                <w:rFonts w:ascii="Titillium Web" w:hAnsi="Titillium Web"/>
                <w:sz w:val="14"/>
                <w:szCs w:val="14"/>
                <w:lang w:val="it-IT"/>
              </w:rPr>
              <w:t>1.090,26</w:t>
            </w:r>
          </w:p>
        </w:tc>
      </w:tr>
      <w:tr w:rsidR="00801F4F" w:rsidRPr="006E5276" w14:paraId="774F4712" w14:textId="77777777" w:rsidTr="00FA0EEC">
        <w:trPr>
          <w:trHeight w:val="20"/>
          <w:jc w:val="center"/>
        </w:trPr>
        <w:tc>
          <w:tcPr>
            <w:tcW w:w="3210" w:type="dxa"/>
            <w:vAlign w:val="center"/>
          </w:tcPr>
          <w:p w14:paraId="0FA7D5FE" w14:textId="77777777" w:rsidR="00801F4F" w:rsidRPr="006E5276" w:rsidRDefault="00801F4F" w:rsidP="00FA0EEC">
            <w:pPr>
              <w:pStyle w:val="TableParagraph"/>
              <w:ind w:left="69"/>
              <w:rPr>
                <w:rFonts w:ascii="Titillium Web" w:hAnsi="Titillium Web"/>
                <w:b/>
                <w:i/>
                <w:sz w:val="14"/>
                <w:szCs w:val="14"/>
                <w:lang w:val="it-IT"/>
              </w:rPr>
            </w:pPr>
            <w:r w:rsidRPr="006E5276">
              <w:rPr>
                <w:rFonts w:ascii="Titillium Web" w:hAnsi="Titillium Web"/>
                <w:b/>
                <w:i/>
                <w:sz w:val="14"/>
                <w:szCs w:val="14"/>
                <w:lang w:val="it-IT"/>
              </w:rPr>
              <w:t>B)</w:t>
            </w:r>
            <w:r w:rsidRPr="006E5276">
              <w:rPr>
                <w:rFonts w:ascii="Titillium Web" w:hAnsi="Titillium Web"/>
                <w:b/>
                <w:i/>
                <w:spacing w:val="-2"/>
                <w:sz w:val="14"/>
                <w:szCs w:val="14"/>
                <w:lang w:val="it-IT"/>
              </w:rPr>
              <w:t xml:space="preserve"> </w:t>
            </w:r>
            <w:r w:rsidRPr="006E5276">
              <w:rPr>
                <w:rFonts w:ascii="Titillium Web" w:hAnsi="Titillium Web"/>
                <w:b/>
                <w:i/>
                <w:sz w:val="14"/>
                <w:szCs w:val="14"/>
                <w:lang w:val="it-IT"/>
              </w:rPr>
              <w:t>Totale</w:t>
            </w:r>
            <w:r w:rsidRPr="006E5276">
              <w:rPr>
                <w:rFonts w:ascii="Titillium Web" w:hAnsi="Titillium Web"/>
                <w:b/>
                <w:i/>
                <w:spacing w:val="-3"/>
                <w:sz w:val="14"/>
                <w:szCs w:val="14"/>
                <w:lang w:val="it-IT"/>
              </w:rPr>
              <w:t xml:space="preserve"> </w:t>
            </w:r>
            <w:r w:rsidRPr="006E5276">
              <w:rPr>
                <w:rFonts w:ascii="Titillium Web" w:hAnsi="Titillium Web"/>
                <w:b/>
                <w:i/>
                <w:sz w:val="14"/>
                <w:szCs w:val="14"/>
                <w:lang w:val="it-IT"/>
              </w:rPr>
              <w:t>spese</w:t>
            </w:r>
            <w:r w:rsidRPr="006E5276">
              <w:rPr>
                <w:rFonts w:ascii="Titillium Web" w:hAnsi="Titillium Web"/>
                <w:b/>
                <w:i/>
                <w:spacing w:val="-2"/>
                <w:sz w:val="14"/>
                <w:szCs w:val="14"/>
                <w:lang w:val="it-IT"/>
              </w:rPr>
              <w:t xml:space="preserve"> </w:t>
            </w:r>
            <w:r w:rsidRPr="006E5276">
              <w:rPr>
                <w:rFonts w:ascii="Titillium Web" w:hAnsi="Titillium Web"/>
                <w:b/>
                <w:i/>
                <w:sz w:val="14"/>
                <w:szCs w:val="14"/>
                <w:lang w:val="it-IT"/>
              </w:rPr>
              <w:t>di</w:t>
            </w:r>
            <w:r w:rsidRPr="006E5276">
              <w:rPr>
                <w:rFonts w:ascii="Titillium Web" w:hAnsi="Titillium Web"/>
                <w:b/>
                <w:i/>
                <w:spacing w:val="-2"/>
                <w:sz w:val="14"/>
                <w:szCs w:val="14"/>
                <w:lang w:val="it-IT"/>
              </w:rPr>
              <w:t xml:space="preserve"> </w:t>
            </w:r>
            <w:r w:rsidRPr="006E5276">
              <w:rPr>
                <w:rFonts w:ascii="Titillium Web" w:hAnsi="Titillium Web"/>
                <w:b/>
                <w:i/>
                <w:sz w:val="14"/>
                <w:szCs w:val="14"/>
                <w:lang w:val="it-IT"/>
              </w:rPr>
              <w:t>consulenza</w:t>
            </w:r>
          </w:p>
        </w:tc>
        <w:tc>
          <w:tcPr>
            <w:tcW w:w="2384" w:type="dxa"/>
            <w:vAlign w:val="center"/>
          </w:tcPr>
          <w:p w14:paraId="34C91B89" w14:textId="77777777" w:rsidR="00801F4F" w:rsidRPr="006E5276" w:rsidRDefault="00801F4F" w:rsidP="00FA0EEC">
            <w:pPr>
              <w:pStyle w:val="TableParagraph"/>
              <w:jc w:val="center"/>
              <w:rPr>
                <w:rFonts w:ascii="Titillium Web" w:hAnsi="Titillium Web"/>
                <w:b/>
                <w:i/>
                <w:sz w:val="14"/>
                <w:szCs w:val="14"/>
                <w:lang w:val="it-IT"/>
              </w:rPr>
            </w:pPr>
            <w:r w:rsidRPr="006E5276">
              <w:rPr>
                <w:rFonts w:ascii="Titillium Web" w:hAnsi="Titillium Web"/>
                <w:b/>
                <w:i/>
                <w:sz w:val="14"/>
                <w:szCs w:val="14"/>
                <w:lang w:val="it-IT"/>
              </w:rPr>
              <w:t>€</w:t>
            </w:r>
            <w:r w:rsidRPr="006E5276">
              <w:rPr>
                <w:rFonts w:ascii="Titillium Web" w:hAnsi="Titillium Web"/>
                <w:b/>
                <w:i/>
                <w:spacing w:val="-2"/>
                <w:sz w:val="14"/>
                <w:szCs w:val="14"/>
                <w:lang w:val="it-IT"/>
              </w:rPr>
              <w:t xml:space="preserve"> </w:t>
            </w:r>
            <w:r w:rsidRPr="006E5276">
              <w:rPr>
                <w:rFonts w:ascii="Titillium Web" w:hAnsi="Titillium Web"/>
                <w:b/>
                <w:i/>
                <w:sz w:val="14"/>
                <w:szCs w:val="14"/>
                <w:lang w:val="it-IT"/>
              </w:rPr>
              <w:t>4.413,67</w:t>
            </w:r>
          </w:p>
        </w:tc>
        <w:tc>
          <w:tcPr>
            <w:tcW w:w="2268" w:type="dxa"/>
            <w:vAlign w:val="center"/>
          </w:tcPr>
          <w:p w14:paraId="22321B55" w14:textId="77777777" w:rsidR="00801F4F" w:rsidRPr="006E5276" w:rsidRDefault="00801F4F" w:rsidP="00FA0EEC">
            <w:pPr>
              <w:pStyle w:val="TableParagraph"/>
              <w:jc w:val="center"/>
              <w:rPr>
                <w:rFonts w:ascii="Titillium Web" w:hAnsi="Titillium Web"/>
                <w:b/>
                <w:i/>
                <w:sz w:val="14"/>
                <w:szCs w:val="14"/>
                <w:lang w:val="it-IT"/>
              </w:rPr>
            </w:pPr>
            <w:r w:rsidRPr="006E5276">
              <w:rPr>
                <w:rFonts w:ascii="Titillium Web" w:hAnsi="Titillium Web"/>
                <w:b/>
                <w:i/>
                <w:sz w:val="14"/>
                <w:szCs w:val="14"/>
                <w:lang w:val="it-IT"/>
              </w:rPr>
              <w:t>€</w:t>
            </w:r>
            <w:r w:rsidRPr="006E5276">
              <w:rPr>
                <w:rFonts w:ascii="Titillium Web" w:hAnsi="Titillium Web"/>
                <w:b/>
                <w:i/>
                <w:spacing w:val="-2"/>
                <w:sz w:val="14"/>
                <w:szCs w:val="14"/>
                <w:lang w:val="it-IT"/>
              </w:rPr>
              <w:t xml:space="preserve"> </w:t>
            </w:r>
            <w:r w:rsidRPr="006E5276">
              <w:rPr>
                <w:rFonts w:ascii="Titillium Web" w:hAnsi="Titillium Web"/>
                <w:b/>
                <w:i/>
                <w:sz w:val="14"/>
                <w:szCs w:val="14"/>
                <w:lang w:val="it-IT"/>
              </w:rPr>
              <w:t>4.413,67</w:t>
            </w:r>
          </w:p>
        </w:tc>
      </w:tr>
      <w:tr w:rsidR="00801F4F" w:rsidRPr="006E5276" w14:paraId="2461B5E4" w14:textId="77777777" w:rsidTr="00FA0EEC">
        <w:trPr>
          <w:trHeight w:val="20"/>
          <w:jc w:val="center"/>
        </w:trPr>
        <w:tc>
          <w:tcPr>
            <w:tcW w:w="3210" w:type="dxa"/>
            <w:shd w:val="clear" w:color="auto" w:fill="FFFFFF" w:themeFill="background1"/>
            <w:vAlign w:val="center"/>
          </w:tcPr>
          <w:p w14:paraId="37666A69" w14:textId="77777777" w:rsidR="00801F4F" w:rsidRPr="006E5276" w:rsidRDefault="00801F4F" w:rsidP="00FA0EEC">
            <w:pPr>
              <w:pStyle w:val="TableParagraph"/>
              <w:ind w:left="69"/>
              <w:rPr>
                <w:rFonts w:ascii="Titillium Web" w:hAnsi="Titillium Web"/>
                <w:b/>
                <w:sz w:val="14"/>
                <w:szCs w:val="14"/>
                <w:lang w:val="it-IT"/>
              </w:rPr>
            </w:pPr>
            <w:r w:rsidRPr="006E5276">
              <w:rPr>
                <w:rFonts w:ascii="Titillium Web" w:hAnsi="Titillium Web"/>
                <w:b/>
                <w:sz w:val="14"/>
                <w:szCs w:val="14"/>
                <w:lang w:val="it-IT"/>
              </w:rPr>
              <w:t>C)=(A+B)</w:t>
            </w:r>
            <w:r w:rsidRPr="006E5276">
              <w:rPr>
                <w:rFonts w:ascii="Titillium Web" w:hAnsi="Titillium Web"/>
                <w:b/>
                <w:spacing w:val="-2"/>
                <w:sz w:val="14"/>
                <w:szCs w:val="14"/>
                <w:lang w:val="it-IT"/>
              </w:rPr>
              <w:t xml:space="preserve"> </w:t>
            </w:r>
            <w:r w:rsidRPr="006E5276">
              <w:rPr>
                <w:rFonts w:ascii="Titillium Web" w:hAnsi="Titillium Web"/>
                <w:b/>
                <w:sz w:val="14"/>
                <w:szCs w:val="14"/>
                <w:lang w:val="it-IT"/>
              </w:rPr>
              <w:t>Totale</w:t>
            </w:r>
            <w:r w:rsidRPr="006E5276">
              <w:rPr>
                <w:rFonts w:ascii="Titillium Web" w:hAnsi="Titillium Web"/>
                <w:b/>
                <w:spacing w:val="-2"/>
                <w:sz w:val="14"/>
                <w:szCs w:val="14"/>
                <w:lang w:val="it-IT"/>
              </w:rPr>
              <w:t xml:space="preserve"> </w:t>
            </w:r>
            <w:r w:rsidRPr="006E5276">
              <w:rPr>
                <w:rFonts w:ascii="Titillium Web" w:hAnsi="Titillium Web"/>
                <w:b/>
                <w:sz w:val="14"/>
                <w:szCs w:val="14"/>
                <w:lang w:val="it-IT"/>
              </w:rPr>
              <w:t>costi</w:t>
            </w:r>
            <w:r w:rsidRPr="006E5276">
              <w:rPr>
                <w:rFonts w:ascii="Titillium Web" w:hAnsi="Titillium Web"/>
                <w:b/>
                <w:spacing w:val="-3"/>
                <w:sz w:val="14"/>
                <w:szCs w:val="14"/>
                <w:lang w:val="it-IT"/>
              </w:rPr>
              <w:t xml:space="preserve"> </w:t>
            </w:r>
            <w:r w:rsidRPr="006E5276">
              <w:rPr>
                <w:rFonts w:ascii="Titillium Web" w:hAnsi="Titillium Web"/>
                <w:b/>
                <w:sz w:val="14"/>
                <w:szCs w:val="14"/>
                <w:lang w:val="it-IT"/>
              </w:rPr>
              <w:t>diretti</w:t>
            </w:r>
          </w:p>
        </w:tc>
        <w:tc>
          <w:tcPr>
            <w:tcW w:w="2384" w:type="dxa"/>
            <w:shd w:val="clear" w:color="auto" w:fill="FFFFFF" w:themeFill="background1"/>
            <w:vAlign w:val="center"/>
          </w:tcPr>
          <w:p w14:paraId="6F0D1522" w14:textId="77777777" w:rsidR="00801F4F" w:rsidRPr="006E5276" w:rsidRDefault="00801F4F" w:rsidP="00FA0EEC">
            <w:pPr>
              <w:pStyle w:val="TableParagraph"/>
              <w:jc w:val="center"/>
              <w:rPr>
                <w:rFonts w:ascii="Titillium Web" w:hAnsi="Titillium Web"/>
                <w:b/>
                <w:sz w:val="14"/>
                <w:szCs w:val="14"/>
                <w:lang w:val="it-IT"/>
              </w:rPr>
            </w:pPr>
            <w:r w:rsidRPr="006E5276">
              <w:rPr>
                <w:rFonts w:ascii="Titillium Web" w:hAnsi="Titillium Web"/>
                <w:b/>
                <w:sz w:val="14"/>
                <w:szCs w:val="14"/>
                <w:lang w:val="it-IT"/>
              </w:rPr>
              <w:t>€</w:t>
            </w:r>
            <w:r w:rsidRPr="006E5276">
              <w:rPr>
                <w:rFonts w:ascii="Titillium Web" w:hAnsi="Titillium Web"/>
                <w:b/>
                <w:spacing w:val="-2"/>
                <w:sz w:val="14"/>
                <w:szCs w:val="14"/>
                <w:lang w:val="it-IT"/>
              </w:rPr>
              <w:t xml:space="preserve"> </w:t>
            </w:r>
            <w:r w:rsidRPr="006E5276">
              <w:rPr>
                <w:rFonts w:ascii="Titillium Web" w:hAnsi="Titillium Web"/>
                <w:b/>
                <w:sz w:val="14"/>
                <w:szCs w:val="14"/>
                <w:lang w:val="it-IT"/>
              </w:rPr>
              <w:t>5.953,67</w:t>
            </w:r>
          </w:p>
        </w:tc>
        <w:tc>
          <w:tcPr>
            <w:tcW w:w="2268" w:type="dxa"/>
            <w:shd w:val="clear" w:color="auto" w:fill="FFFFFF" w:themeFill="background1"/>
            <w:vAlign w:val="center"/>
          </w:tcPr>
          <w:p w14:paraId="63F0B522" w14:textId="77777777" w:rsidR="00801F4F" w:rsidRPr="006E5276" w:rsidRDefault="00801F4F" w:rsidP="00FA0EEC">
            <w:pPr>
              <w:pStyle w:val="TableParagraph"/>
              <w:jc w:val="center"/>
              <w:rPr>
                <w:rFonts w:ascii="Titillium Web" w:hAnsi="Titillium Web"/>
                <w:b/>
                <w:sz w:val="14"/>
                <w:szCs w:val="14"/>
                <w:lang w:val="it-IT"/>
              </w:rPr>
            </w:pPr>
            <w:r w:rsidRPr="006E5276">
              <w:rPr>
                <w:rFonts w:ascii="Titillium Web" w:hAnsi="Titillium Web"/>
                <w:b/>
                <w:sz w:val="14"/>
                <w:szCs w:val="14"/>
                <w:lang w:val="it-IT"/>
              </w:rPr>
              <w:t>€</w:t>
            </w:r>
            <w:r w:rsidRPr="006E5276">
              <w:rPr>
                <w:rFonts w:ascii="Titillium Web" w:hAnsi="Titillium Web"/>
                <w:b/>
                <w:spacing w:val="-2"/>
                <w:sz w:val="14"/>
                <w:szCs w:val="14"/>
                <w:lang w:val="it-IT"/>
              </w:rPr>
              <w:t xml:space="preserve"> </w:t>
            </w:r>
            <w:r w:rsidRPr="006E5276">
              <w:rPr>
                <w:rFonts w:ascii="Titillium Web" w:hAnsi="Titillium Web"/>
                <w:b/>
                <w:sz w:val="14"/>
                <w:szCs w:val="14"/>
                <w:lang w:val="it-IT"/>
              </w:rPr>
              <w:t>7.508,66</w:t>
            </w:r>
          </w:p>
        </w:tc>
      </w:tr>
      <w:tr w:rsidR="00801F4F" w:rsidRPr="006E5276" w14:paraId="286E99FD" w14:textId="77777777" w:rsidTr="00FA0EEC">
        <w:trPr>
          <w:trHeight w:val="20"/>
          <w:jc w:val="center"/>
        </w:trPr>
        <w:tc>
          <w:tcPr>
            <w:tcW w:w="3210" w:type="dxa"/>
            <w:vAlign w:val="center"/>
          </w:tcPr>
          <w:p w14:paraId="538BABD1" w14:textId="77777777" w:rsidR="00801F4F" w:rsidRPr="006E5276" w:rsidRDefault="00801F4F" w:rsidP="00FA0EEC">
            <w:pPr>
              <w:pStyle w:val="TableParagraph"/>
              <w:ind w:left="69"/>
              <w:rPr>
                <w:rFonts w:ascii="Titillium Web" w:hAnsi="Titillium Web"/>
                <w:b/>
                <w:i/>
                <w:sz w:val="14"/>
                <w:szCs w:val="14"/>
                <w:lang w:val="it-IT"/>
              </w:rPr>
            </w:pPr>
            <w:r w:rsidRPr="006E5276">
              <w:rPr>
                <w:rFonts w:ascii="Titillium Web" w:hAnsi="Titillium Web"/>
                <w:b/>
                <w:i/>
                <w:sz w:val="14"/>
                <w:szCs w:val="14"/>
                <w:lang w:val="it-IT"/>
              </w:rPr>
              <w:t>D)=(C*20%)</w:t>
            </w:r>
            <w:r w:rsidRPr="006E5276">
              <w:rPr>
                <w:rFonts w:ascii="Titillium Web" w:hAnsi="Titillium Web"/>
                <w:b/>
                <w:i/>
                <w:spacing w:val="-4"/>
                <w:sz w:val="14"/>
                <w:szCs w:val="14"/>
                <w:lang w:val="it-IT"/>
              </w:rPr>
              <w:t xml:space="preserve"> </w:t>
            </w:r>
            <w:r w:rsidRPr="006E5276">
              <w:rPr>
                <w:rFonts w:ascii="Titillium Web" w:hAnsi="Titillium Web"/>
                <w:b/>
                <w:i/>
                <w:sz w:val="14"/>
                <w:szCs w:val="14"/>
                <w:lang w:val="it-IT"/>
              </w:rPr>
              <w:t>Spese</w:t>
            </w:r>
            <w:r w:rsidRPr="006E5276">
              <w:rPr>
                <w:rFonts w:ascii="Titillium Web" w:hAnsi="Titillium Web"/>
                <w:b/>
                <w:i/>
                <w:spacing w:val="-3"/>
                <w:sz w:val="14"/>
                <w:szCs w:val="14"/>
                <w:lang w:val="it-IT"/>
              </w:rPr>
              <w:t xml:space="preserve"> </w:t>
            </w:r>
            <w:r w:rsidRPr="006E5276">
              <w:rPr>
                <w:rFonts w:ascii="Titillium Web" w:hAnsi="Titillium Web"/>
                <w:b/>
                <w:i/>
                <w:sz w:val="14"/>
                <w:szCs w:val="14"/>
                <w:lang w:val="it-IT"/>
              </w:rPr>
              <w:t>di</w:t>
            </w:r>
            <w:r w:rsidRPr="006E5276">
              <w:rPr>
                <w:rFonts w:ascii="Titillium Web" w:hAnsi="Titillium Web"/>
                <w:b/>
                <w:i/>
                <w:spacing w:val="-3"/>
                <w:sz w:val="14"/>
                <w:szCs w:val="14"/>
                <w:lang w:val="it-IT"/>
              </w:rPr>
              <w:t xml:space="preserve"> </w:t>
            </w:r>
            <w:r w:rsidRPr="006E5276">
              <w:rPr>
                <w:rFonts w:ascii="Titillium Web" w:hAnsi="Titillium Web"/>
                <w:b/>
                <w:i/>
                <w:sz w:val="14"/>
                <w:szCs w:val="14"/>
                <w:lang w:val="it-IT"/>
              </w:rPr>
              <w:t>personale</w:t>
            </w:r>
          </w:p>
        </w:tc>
        <w:tc>
          <w:tcPr>
            <w:tcW w:w="2384" w:type="dxa"/>
            <w:vAlign w:val="center"/>
          </w:tcPr>
          <w:p w14:paraId="304B4F69" w14:textId="77777777" w:rsidR="00801F4F" w:rsidRPr="006E5276" w:rsidRDefault="00801F4F" w:rsidP="00FA0EEC">
            <w:pPr>
              <w:pStyle w:val="TableParagraph"/>
              <w:jc w:val="center"/>
              <w:rPr>
                <w:rFonts w:ascii="Titillium Web" w:hAnsi="Titillium Web"/>
                <w:b/>
                <w:i/>
                <w:sz w:val="14"/>
                <w:szCs w:val="14"/>
                <w:lang w:val="it-IT"/>
              </w:rPr>
            </w:pPr>
            <w:r w:rsidRPr="006E5276">
              <w:rPr>
                <w:rFonts w:ascii="Titillium Web" w:hAnsi="Titillium Web"/>
                <w:b/>
                <w:i/>
                <w:sz w:val="14"/>
                <w:szCs w:val="14"/>
                <w:lang w:val="it-IT"/>
              </w:rPr>
              <w:t>€</w:t>
            </w:r>
            <w:r w:rsidRPr="006E5276">
              <w:rPr>
                <w:rFonts w:ascii="Titillium Web" w:hAnsi="Titillium Web"/>
                <w:b/>
                <w:i/>
                <w:spacing w:val="-2"/>
                <w:sz w:val="14"/>
                <w:szCs w:val="14"/>
                <w:lang w:val="it-IT"/>
              </w:rPr>
              <w:t xml:space="preserve"> </w:t>
            </w:r>
            <w:r w:rsidRPr="006E5276">
              <w:rPr>
                <w:rFonts w:ascii="Titillium Web" w:hAnsi="Titillium Web"/>
                <w:b/>
                <w:i/>
                <w:sz w:val="14"/>
                <w:szCs w:val="14"/>
                <w:lang w:val="it-IT"/>
              </w:rPr>
              <w:t>1.190,73</w:t>
            </w:r>
          </w:p>
        </w:tc>
        <w:tc>
          <w:tcPr>
            <w:tcW w:w="2268" w:type="dxa"/>
            <w:vAlign w:val="center"/>
          </w:tcPr>
          <w:p w14:paraId="54324ADB" w14:textId="77777777" w:rsidR="00801F4F" w:rsidRPr="006E5276" w:rsidRDefault="00801F4F" w:rsidP="00FA0EEC">
            <w:pPr>
              <w:pStyle w:val="TableParagraph"/>
              <w:jc w:val="center"/>
              <w:rPr>
                <w:rFonts w:ascii="Titillium Web" w:hAnsi="Titillium Web"/>
                <w:b/>
                <w:i/>
                <w:sz w:val="14"/>
                <w:szCs w:val="14"/>
                <w:lang w:val="it-IT"/>
              </w:rPr>
            </w:pPr>
            <w:r w:rsidRPr="006E5276">
              <w:rPr>
                <w:rFonts w:ascii="Titillium Web" w:hAnsi="Titillium Web"/>
                <w:b/>
                <w:i/>
                <w:sz w:val="14"/>
                <w:szCs w:val="14"/>
                <w:lang w:val="it-IT"/>
              </w:rPr>
              <w:t>€</w:t>
            </w:r>
            <w:r w:rsidRPr="006E5276">
              <w:rPr>
                <w:rFonts w:ascii="Titillium Web" w:hAnsi="Titillium Web"/>
                <w:b/>
                <w:i/>
                <w:spacing w:val="-2"/>
                <w:sz w:val="14"/>
                <w:szCs w:val="14"/>
                <w:lang w:val="it-IT"/>
              </w:rPr>
              <w:t xml:space="preserve"> </w:t>
            </w:r>
            <w:r w:rsidRPr="006E5276">
              <w:rPr>
                <w:rFonts w:ascii="Titillium Web" w:hAnsi="Titillium Web"/>
                <w:b/>
                <w:i/>
                <w:sz w:val="14"/>
                <w:szCs w:val="14"/>
                <w:lang w:val="it-IT"/>
              </w:rPr>
              <w:t>1.501,73</w:t>
            </w:r>
          </w:p>
        </w:tc>
      </w:tr>
      <w:tr w:rsidR="00801F4F" w:rsidRPr="006E5276" w14:paraId="66C71EF6" w14:textId="77777777" w:rsidTr="00FA0EEC">
        <w:trPr>
          <w:trHeight w:val="20"/>
          <w:jc w:val="center"/>
        </w:trPr>
        <w:tc>
          <w:tcPr>
            <w:tcW w:w="3210" w:type="dxa"/>
            <w:shd w:val="clear" w:color="auto" w:fill="FFFFFF" w:themeFill="background1"/>
            <w:vAlign w:val="center"/>
          </w:tcPr>
          <w:p w14:paraId="36163E00" w14:textId="77777777" w:rsidR="00801F4F" w:rsidRPr="006E5276" w:rsidRDefault="00801F4F" w:rsidP="00FA0EEC">
            <w:pPr>
              <w:pStyle w:val="TableParagraph"/>
              <w:ind w:left="69"/>
              <w:rPr>
                <w:rFonts w:ascii="Titillium Web" w:hAnsi="Titillium Web"/>
                <w:b/>
                <w:sz w:val="14"/>
                <w:szCs w:val="14"/>
                <w:lang w:val="it-IT"/>
              </w:rPr>
            </w:pPr>
            <w:r w:rsidRPr="006E5276">
              <w:rPr>
                <w:rFonts w:ascii="Titillium Web" w:hAnsi="Titillium Web"/>
                <w:b/>
                <w:sz w:val="14"/>
                <w:szCs w:val="14"/>
                <w:lang w:val="it-IT"/>
              </w:rPr>
              <w:t>E)=(C+D)</w:t>
            </w:r>
            <w:r w:rsidRPr="006E5276">
              <w:rPr>
                <w:rFonts w:ascii="Titillium Web" w:hAnsi="Titillium Web"/>
                <w:b/>
                <w:spacing w:val="39"/>
                <w:sz w:val="14"/>
                <w:szCs w:val="14"/>
                <w:lang w:val="it-IT"/>
              </w:rPr>
              <w:t xml:space="preserve"> </w:t>
            </w:r>
            <w:r w:rsidRPr="006E5276">
              <w:rPr>
                <w:rFonts w:ascii="Titillium Web" w:hAnsi="Titillium Web"/>
                <w:b/>
                <w:sz w:val="14"/>
                <w:szCs w:val="14"/>
                <w:lang w:val="it-IT"/>
              </w:rPr>
              <w:t>Somma</w:t>
            </w:r>
            <w:r w:rsidRPr="006E5276">
              <w:rPr>
                <w:rFonts w:ascii="Titillium Web" w:hAnsi="Titillium Web"/>
                <w:b/>
                <w:spacing w:val="-4"/>
                <w:sz w:val="14"/>
                <w:szCs w:val="14"/>
                <w:lang w:val="it-IT"/>
              </w:rPr>
              <w:t xml:space="preserve"> </w:t>
            </w:r>
            <w:r w:rsidRPr="006E5276">
              <w:rPr>
                <w:rFonts w:ascii="Titillium Web" w:hAnsi="Titillium Web"/>
                <w:b/>
                <w:sz w:val="14"/>
                <w:szCs w:val="14"/>
                <w:lang w:val="it-IT"/>
              </w:rPr>
              <w:t>forfettaria</w:t>
            </w:r>
          </w:p>
        </w:tc>
        <w:tc>
          <w:tcPr>
            <w:tcW w:w="2384" w:type="dxa"/>
            <w:shd w:val="clear" w:color="auto" w:fill="FFFFFF" w:themeFill="background1"/>
            <w:vAlign w:val="center"/>
          </w:tcPr>
          <w:p w14:paraId="0E555D98" w14:textId="77777777" w:rsidR="00801F4F" w:rsidRPr="006E5276" w:rsidRDefault="00801F4F" w:rsidP="00FA0EEC">
            <w:pPr>
              <w:pStyle w:val="TableParagraph"/>
              <w:jc w:val="center"/>
              <w:rPr>
                <w:rFonts w:ascii="Titillium Web" w:hAnsi="Titillium Web"/>
                <w:b/>
                <w:sz w:val="14"/>
                <w:szCs w:val="14"/>
                <w:lang w:val="it-IT"/>
              </w:rPr>
            </w:pPr>
            <w:r w:rsidRPr="006E5276">
              <w:rPr>
                <w:rFonts w:ascii="Titillium Web" w:hAnsi="Titillium Web"/>
                <w:b/>
                <w:sz w:val="14"/>
                <w:szCs w:val="14"/>
                <w:lang w:val="it-IT"/>
              </w:rPr>
              <w:t>€</w:t>
            </w:r>
            <w:r w:rsidRPr="006E5276">
              <w:rPr>
                <w:rFonts w:ascii="Titillium Web" w:hAnsi="Titillium Web"/>
                <w:b/>
                <w:spacing w:val="-2"/>
                <w:sz w:val="14"/>
                <w:szCs w:val="14"/>
                <w:lang w:val="it-IT"/>
              </w:rPr>
              <w:t xml:space="preserve"> </w:t>
            </w:r>
            <w:r w:rsidRPr="006E5276">
              <w:rPr>
                <w:rFonts w:ascii="Titillium Web" w:hAnsi="Titillium Web"/>
                <w:b/>
                <w:sz w:val="14"/>
                <w:szCs w:val="14"/>
                <w:lang w:val="it-IT"/>
              </w:rPr>
              <w:t>7.144,40</w:t>
            </w:r>
          </w:p>
        </w:tc>
        <w:tc>
          <w:tcPr>
            <w:tcW w:w="2268" w:type="dxa"/>
            <w:shd w:val="clear" w:color="auto" w:fill="FFFFFF" w:themeFill="background1"/>
            <w:vAlign w:val="center"/>
          </w:tcPr>
          <w:p w14:paraId="7BF450A7" w14:textId="77777777" w:rsidR="00801F4F" w:rsidRPr="006E5276" w:rsidRDefault="00801F4F" w:rsidP="00FA0EEC">
            <w:pPr>
              <w:pStyle w:val="TableParagraph"/>
              <w:jc w:val="center"/>
              <w:rPr>
                <w:rFonts w:ascii="Titillium Web" w:hAnsi="Titillium Web"/>
                <w:b/>
                <w:sz w:val="14"/>
                <w:szCs w:val="14"/>
                <w:lang w:val="it-IT"/>
              </w:rPr>
            </w:pPr>
            <w:r w:rsidRPr="006E5276">
              <w:rPr>
                <w:rFonts w:ascii="Titillium Web" w:hAnsi="Titillium Web"/>
                <w:b/>
                <w:sz w:val="14"/>
                <w:szCs w:val="14"/>
                <w:lang w:val="it-IT"/>
              </w:rPr>
              <w:t>€</w:t>
            </w:r>
            <w:r w:rsidRPr="006E5276">
              <w:rPr>
                <w:rFonts w:ascii="Titillium Web" w:hAnsi="Titillium Web"/>
                <w:b/>
                <w:spacing w:val="-2"/>
                <w:sz w:val="14"/>
                <w:szCs w:val="14"/>
                <w:lang w:val="it-IT"/>
              </w:rPr>
              <w:t xml:space="preserve"> </w:t>
            </w:r>
            <w:r w:rsidRPr="006E5276">
              <w:rPr>
                <w:rFonts w:ascii="Titillium Web" w:hAnsi="Titillium Web"/>
                <w:b/>
                <w:sz w:val="14"/>
                <w:szCs w:val="14"/>
                <w:lang w:val="it-IT"/>
              </w:rPr>
              <w:t>9.010,39</w:t>
            </w:r>
          </w:p>
        </w:tc>
      </w:tr>
      <w:tr w:rsidR="00801F4F" w:rsidRPr="006E5276" w14:paraId="259E9FA1" w14:textId="77777777" w:rsidTr="00FA0EEC">
        <w:trPr>
          <w:trHeight w:val="20"/>
          <w:jc w:val="center"/>
        </w:trPr>
        <w:tc>
          <w:tcPr>
            <w:tcW w:w="3210" w:type="dxa"/>
            <w:shd w:val="clear" w:color="auto" w:fill="D9D9D9"/>
            <w:vAlign w:val="center"/>
          </w:tcPr>
          <w:p w14:paraId="7FFBACCA" w14:textId="77777777" w:rsidR="00801F4F" w:rsidRPr="006E5276" w:rsidRDefault="00801F4F" w:rsidP="00FA0EEC">
            <w:pPr>
              <w:pStyle w:val="TableParagraph"/>
              <w:ind w:left="69"/>
              <w:rPr>
                <w:rFonts w:ascii="Titillium Web" w:hAnsi="Titillium Web"/>
                <w:b/>
                <w:sz w:val="14"/>
                <w:szCs w:val="14"/>
                <w:lang w:val="it-IT"/>
              </w:rPr>
            </w:pPr>
            <w:r w:rsidRPr="006E5276">
              <w:rPr>
                <w:rFonts w:ascii="Titillium Web" w:hAnsi="Titillium Web"/>
                <w:b/>
                <w:sz w:val="14"/>
                <w:szCs w:val="14"/>
                <w:lang w:val="it-IT"/>
              </w:rPr>
              <w:t>Somma forfettaria (arrotondamento)</w:t>
            </w:r>
          </w:p>
        </w:tc>
        <w:tc>
          <w:tcPr>
            <w:tcW w:w="2384" w:type="dxa"/>
            <w:shd w:val="clear" w:color="auto" w:fill="D9D9D9"/>
            <w:vAlign w:val="center"/>
          </w:tcPr>
          <w:p w14:paraId="7520B106" w14:textId="77777777" w:rsidR="00801F4F" w:rsidRPr="006E5276" w:rsidRDefault="00801F4F" w:rsidP="00FA0EEC">
            <w:pPr>
              <w:pStyle w:val="TableParagraph"/>
              <w:jc w:val="center"/>
              <w:rPr>
                <w:rFonts w:ascii="Titillium Web" w:hAnsi="Titillium Web"/>
                <w:b/>
                <w:sz w:val="14"/>
                <w:szCs w:val="14"/>
                <w:lang w:val="it-IT"/>
              </w:rPr>
            </w:pPr>
            <w:r w:rsidRPr="006E5276">
              <w:rPr>
                <w:rFonts w:ascii="Titillium Web" w:hAnsi="Titillium Web"/>
                <w:b/>
                <w:sz w:val="14"/>
                <w:szCs w:val="14"/>
                <w:lang w:val="it-IT"/>
              </w:rPr>
              <w:t>€ 7.100,00</w:t>
            </w:r>
          </w:p>
        </w:tc>
        <w:tc>
          <w:tcPr>
            <w:tcW w:w="2268" w:type="dxa"/>
            <w:shd w:val="clear" w:color="auto" w:fill="D9D9D9"/>
            <w:vAlign w:val="center"/>
          </w:tcPr>
          <w:p w14:paraId="023425E6" w14:textId="77777777" w:rsidR="00801F4F" w:rsidRPr="006E5276" w:rsidRDefault="00801F4F" w:rsidP="00FA0EEC">
            <w:pPr>
              <w:pStyle w:val="TableParagraph"/>
              <w:keepNext/>
              <w:jc w:val="center"/>
              <w:rPr>
                <w:rFonts w:ascii="Titillium Web" w:hAnsi="Titillium Web"/>
                <w:b/>
                <w:sz w:val="14"/>
                <w:szCs w:val="14"/>
                <w:lang w:val="it-IT"/>
              </w:rPr>
            </w:pPr>
            <w:r w:rsidRPr="006E5276">
              <w:rPr>
                <w:rFonts w:ascii="Titillium Web" w:hAnsi="Titillium Web"/>
                <w:b/>
                <w:sz w:val="14"/>
                <w:szCs w:val="14"/>
                <w:lang w:val="it-IT"/>
              </w:rPr>
              <w:t>€ 9.000,00</w:t>
            </w:r>
          </w:p>
        </w:tc>
      </w:tr>
    </w:tbl>
    <w:p w14:paraId="37BAE8E9" w14:textId="77777777" w:rsidR="00801F4F" w:rsidRPr="0055655F" w:rsidRDefault="00801F4F" w:rsidP="00801F4F">
      <w:pPr>
        <w:spacing w:before="240"/>
      </w:pPr>
      <w:r w:rsidRPr="0055655F">
        <w:t>Tali somme forfettarie coprono le spese che vanno dalla fase di presentazione della domanda di deposito alla pubblicazione del rapporto di ricerca. L’assegnazione degli importi non richiede la rendicontazione a costi reali, ma unicamente la presentazione della documentazione amministrativa comprovante l’avvenuto deposito della domanda da parte dell’impresa beneficiaria presso l’Ufficio competente e la successiva pubblicazione del rapporto di ricerca.</w:t>
      </w:r>
      <w:r>
        <w:t xml:space="preserve"> </w:t>
      </w:r>
      <w:r w:rsidRPr="0055655F">
        <w:t>Per la definizione dei relativi costi standard si potranno assumere come unità di misura i brevetti considerati, moltiplicando il valore richiesto per il numero di brevetti</w:t>
      </w:r>
      <w:r>
        <w:t>.</w:t>
      </w:r>
    </w:p>
    <w:p w14:paraId="188609CA" w14:textId="77777777" w:rsidR="00801F4F" w:rsidRPr="0055655F" w:rsidRDefault="00801F4F" w:rsidP="00801F4F">
      <w:pPr>
        <w:spacing w:after="240"/>
      </w:pPr>
      <w:r w:rsidRPr="0055655F">
        <w:t>Nella definizione dei valori finali</w:t>
      </w:r>
      <w:r>
        <w:t xml:space="preserve"> </w:t>
      </w:r>
      <w:r w:rsidRPr="0055655F">
        <w:t>andrebbe valutata l’applicazione degli aumenti e sconti percentuali riferiti all’adeguamento dei prezzi (+10%) e al cofinanziamento dell’impresa (-50%). Nel qual caso avremo:</w:t>
      </w:r>
    </w:p>
    <w:tbl>
      <w:tblPr>
        <w:tblW w:w="6860" w:type="dxa"/>
        <w:jc w:val="center"/>
        <w:tblCellMar>
          <w:left w:w="70" w:type="dxa"/>
          <w:right w:w="70" w:type="dxa"/>
        </w:tblCellMar>
        <w:tblLook w:val="04A0" w:firstRow="1" w:lastRow="0" w:firstColumn="1" w:lastColumn="0" w:noHBand="0" w:noVBand="1"/>
      </w:tblPr>
      <w:tblGrid>
        <w:gridCol w:w="3280"/>
        <w:gridCol w:w="1840"/>
        <w:gridCol w:w="1740"/>
      </w:tblGrid>
      <w:tr w:rsidR="00801F4F" w:rsidRPr="006E5276" w14:paraId="13AC1AA7" w14:textId="77777777" w:rsidTr="00FA0EEC">
        <w:trPr>
          <w:trHeight w:val="480"/>
          <w:jc w:val="center"/>
        </w:trPr>
        <w:tc>
          <w:tcPr>
            <w:tcW w:w="3280" w:type="dxa"/>
            <w:vMerge w:val="restart"/>
            <w:tcBorders>
              <w:top w:val="single" w:sz="8" w:space="0" w:color="CFCA03"/>
              <w:left w:val="single" w:sz="8" w:space="0" w:color="CFCA03"/>
              <w:bottom w:val="single" w:sz="8" w:space="0" w:color="CFCA03"/>
              <w:right w:val="single" w:sz="8" w:space="0" w:color="CFCA03"/>
            </w:tcBorders>
            <w:shd w:val="clear" w:color="auto" w:fill="2F5496" w:themeFill="accent1" w:themeFillShade="BF"/>
            <w:vAlign w:val="center"/>
            <w:hideMark/>
          </w:tcPr>
          <w:p w14:paraId="6932475F" w14:textId="77777777" w:rsidR="00801F4F" w:rsidRPr="006E5276" w:rsidRDefault="00801F4F" w:rsidP="00FA0EEC">
            <w:pPr>
              <w:jc w:val="center"/>
              <w:rPr>
                <w:rFonts w:cs="Calibri"/>
                <w:b/>
                <w:bCs/>
                <w:color w:val="FFFFFF" w:themeColor="background1"/>
                <w:sz w:val="14"/>
                <w:szCs w:val="14"/>
              </w:rPr>
            </w:pPr>
            <w:r w:rsidRPr="006E5276">
              <w:rPr>
                <w:rFonts w:cs="Calibri"/>
                <w:b/>
                <w:bCs/>
                <w:color w:val="FFFFFF" w:themeColor="background1"/>
                <w:sz w:val="14"/>
                <w:szCs w:val="14"/>
              </w:rPr>
              <w:t>Costi</w:t>
            </w:r>
          </w:p>
        </w:tc>
        <w:tc>
          <w:tcPr>
            <w:tcW w:w="1840" w:type="dxa"/>
            <w:tcBorders>
              <w:top w:val="single" w:sz="8" w:space="0" w:color="CFCA03"/>
              <w:left w:val="nil"/>
              <w:bottom w:val="nil"/>
              <w:right w:val="single" w:sz="8" w:space="0" w:color="CFCA03"/>
            </w:tcBorders>
            <w:shd w:val="clear" w:color="auto" w:fill="2F5496" w:themeFill="accent1" w:themeFillShade="BF"/>
            <w:vAlign w:val="center"/>
            <w:hideMark/>
          </w:tcPr>
          <w:p w14:paraId="48E9022B" w14:textId="77777777" w:rsidR="00801F4F" w:rsidRPr="006E5276" w:rsidRDefault="00801F4F" w:rsidP="00FA0EEC">
            <w:pPr>
              <w:jc w:val="center"/>
              <w:rPr>
                <w:rFonts w:cs="Calibri"/>
                <w:b/>
                <w:bCs/>
                <w:color w:val="FFFFFF" w:themeColor="background1"/>
                <w:sz w:val="14"/>
                <w:szCs w:val="14"/>
              </w:rPr>
            </w:pPr>
            <w:r w:rsidRPr="006E5276">
              <w:rPr>
                <w:rFonts w:cs="Calibri"/>
                <w:b/>
                <w:bCs/>
                <w:color w:val="FFFFFF" w:themeColor="background1"/>
                <w:sz w:val="14"/>
                <w:szCs w:val="14"/>
              </w:rPr>
              <w:t>Brevettazione Europea</w:t>
            </w:r>
          </w:p>
        </w:tc>
        <w:tc>
          <w:tcPr>
            <w:tcW w:w="1740" w:type="dxa"/>
            <w:tcBorders>
              <w:top w:val="single" w:sz="8" w:space="0" w:color="CFCA03"/>
              <w:left w:val="nil"/>
              <w:bottom w:val="nil"/>
              <w:right w:val="single" w:sz="8" w:space="0" w:color="CFCA03"/>
            </w:tcBorders>
            <w:shd w:val="clear" w:color="auto" w:fill="2F5496" w:themeFill="accent1" w:themeFillShade="BF"/>
            <w:vAlign w:val="center"/>
            <w:hideMark/>
          </w:tcPr>
          <w:p w14:paraId="2E0512B9" w14:textId="77777777" w:rsidR="00801F4F" w:rsidRPr="006E5276" w:rsidRDefault="00801F4F" w:rsidP="00FA0EEC">
            <w:pPr>
              <w:jc w:val="center"/>
              <w:rPr>
                <w:rFonts w:cs="Calibri"/>
                <w:b/>
                <w:bCs/>
                <w:color w:val="FFFFFF" w:themeColor="background1"/>
                <w:sz w:val="14"/>
                <w:szCs w:val="14"/>
              </w:rPr>
            </w:pPr>
            <w:r w:rsidRPr="006E5276">
              <w:rPr>
                <w:rFonts w:cs="Calibri"/>
                <w:b/>
                <w:bCs/>
                <w:color w:val="FFFFFF" w:themeColor="background1"/>
                <w:sz w:val="14"/>
                <w:szCs w:val="14"/>
              </w:rPr>
              <w:t>Brevettazione Internazionale</w:t>
            </w:r>
          </w:p>
        </w:tc>
      </w:tr>
      <w:tr w:rsidR="00801F4F" w:rsidRPr="006E5276" w14:paraId="62ECEDAF" w14:textId="77777777" w:rsidTr="00FA0EEC">
        <w:trPr>
          <w:trHeight w:val="300"/>
          <w:jc w:val="center"/>
        </w:trPr>
        <w:tc>
          <w:tcPr>
            <w:tcW w:w="3280" w:type="dxa"/>
            <w:vMerge/>
            <w:tcBorders>
              <w:top w:val="single" w:sz="8" w:space="0" w:color="CFCA03"/>
              <w:left w:val="single" w:sz="8" w:space="0" w:color="CFCA03"/>
              <w:bottom w:val="single" w:sz="8" w:space="0" w:color="CFCA03"/>
              <w:right w:val="single" w:sz="8" w:space="0" w:color="CFCA03"/>
            </w:tcBorders>
            <w:vAlign w:val="center"/>
            <w:hideMark/>
          </w:tcPr>
          <w:p w14:paraId="4C872B2B" w14:textId="77777777" w:rsidR="00801F4F" w:rsidRPr="006E5276" w:rsidRDefault="00801F4F" w:rsidP="00FA0EEC">
            <w:pPr>
              <w:rPr>
                <w:rFonts w:cs="Calibri"/>
                <w:b/>
                <w:bCs/>
                <w:color w:val="000000"/>
                <w:sz w:val="14"/>
                <w:szCs w:val="14"/>
              </w:rPr>
            </w:pPr>
          </w:p>
        </w:tc>
        <w:tc>
          <w:tcPr>
            <w:tcW w:w="1840" w:type="dxa"/>
            <w:tcBorders>
              <w:top w:val="nil"/>
              <w:left w:val="nil"/>
              <w:bottom w:val="single" w:sz="8" w:space="0" w:color="CFCA03"/>
              <w:right w:val="single" w:sz="8" w:space="0" w:color="CFCA03"/>
            </w:tcBorders>
            <w:shd w:val="clear" w:color="auto" w:fill="2F5496" w:themeFill="accent1" w:themeFillShade="BF"/>
            <w:vAlign w:val="center"/>
            <w:hideMark/>
          </w:tcPr>
          <w:p w14:paraId="788FFACB" w14:textId="77777777" w:rsidR="00801F4F" w:rsidRPr="006E5276" w:rsidRDefault="00801F4F" w:rsidP="00FA0EEC">
            <w:pPr>
              <w:jc w:val="center"/>
              <w:rPr>
                <w:rFonts w:cs="Calibri"/>
                <w:b/>
                <w:bCs/>
                <w:color w:val="FFFFFF" w:themeColor="background1"/>
                <w:sz w:val="14"/>
                <w:szCs w:val="14"/>
              </w:rPr>
            </w:pPr>
            <w:r w:rsidRPr="006E5276">
              <w:rPr>
                <w:rFonts w:cs="Calibri"/>
                <w:b/>
                <w:bCs/>
                <w:color w:val="FFFFFF" w:themeColor="background1"/>
                <w:sz w:val="14"/>
                <w:szCs w:val="14"/>
              </w:rPr>
              <w:t>(D1)</w:t>
            </w:r>
          </w:p>
        </w:tc>
        <w:tc>
          <w:tcPr>
            <w:tcW w:w="1740" w:type="dxa"/>
            <w:tcBorders>
              <w:top w:val="nil"/>
              <w:left w:val="nil"/>
              <w:bottom w:val="single" w:sz="8" w:space="0" w:color="CFCA03"/>
              <w:right w:val="single" w:sz="8" w:space="0" w:color="CFCA03"/>
            </w:tcBorders>
            <w:shd w:val="clear" w:color="auto" w:fill="2F5496" w:themeFill="accent1" w:themeFillShade="BF"/>
            <w:vAlign w:val="center"/>
            <w:hideMark/>
          </w:tcPr>
          <w:p w14:paraId="46952659" w14:textId="77777777" w:rsidR="00801F4F" w:rsidRPr="006E5276" w:rsidRDefault="00801F4F" w:rsidP="00FA0EEC">
            <w:pPr>
              <w:jc w:val="center"/>
              <w:rPr>
                <w:rFonts w:cs="Calibri"/>
                <w:b/>
                <w:bCs/>
                <w:color w:val="FFFFFF" w:themeColor="background1"/>
                <w:sz w:val="14"/>
                <w:szCs w:val="14"/>
              </w:rPr>
            </w:pPr>
            <w:r w:rsidRPr="006E5276">
              <w:rPr>
                <w:rFonts w:cs="Calibri"/>
                <w:b/>
                <w:bCs/>
                <w:color w:val="FFFFFF" w:themeColor="background1"/>
                <w:sz w:val="14"/>
                <w:szCs w:val="14"/>
              </w:rPr>
              <w:t>(D2)</w:t>
            </w:r>
          </w:p>
        </w:tc>
      </w:tr>
      <w:tr w:rsidR="00801F4F" w:rsidRPr="006E5276" w14:paraId="075A6F72"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auto" w:fill="auto"/>
            <w:vAlign w:val="center"/>
            <w:hideMark/>
          </w:tcPr>
          <w:p w14:paraId="36674C1C" w14:textId="77777777" w:rsidR="00801F4F" w:rsidRPr="006E5276" w:rsidRDefault="00801F4F" w:rsidP="00FA0EEC">
            <w:pPr>
              <w:rPr>
                <w:rFonts w:cs="Calibri"/>
                <w:b/>
                <w:bCs/>
                <w:i/>
                <w:iCs/>
                <w:color w:val="000000"/>
                <w:sz w:val="14"/>
                <w:szCs w:val="14"/>
              </w:rPr>
            </w:pPr>
            <w:r w:rsidRPr="006E5276">
              <w:rPr>
                <w:rFonts w:cs="Calibri"/>
                <w:b/>
                <w:bCs/>
                <w:i/>
                <w:iCs/>
                <w:color w:val="000000"/>
                <w:sz w:val="14"/>
                <w:szCs w:val="14"/>
              </w:rPr>
              <w:t>A) Totale spese deposito</w:t>
            </w:r>
          </w:p>
        </w:tc>
        <w:tc>
          <w:tcPr>
            <w:tcW w:w="1840" w:type="dxa"/>
            <w:tcBorders>
              <w:top w:val="nil"/>
              <w:left w:val="nil"/>
              <w:bottom w:val="single" w:sz="8" w:space="0" w:color="CFCA03"/>
              <w:right w:val="single" w:sz="8" w:space="0" w:color="CFCA03"/>
            </w:tcBorders>
            <w:shd w:val="clear" w:color="auto" w:fill="auto"/>
            <w:vAlign w:val="center"/>
            <w:hideMark/>
          </w:tcPr>
          <w:p w14:paraId="33DF997A" w14:textId="77777777" w:rsidR="00801F4F" w:rsidRPr="006E5276" w:rsidRDefault="00801F4F" w:rsidP="00FA0EEC">
            <w:pPr>
              <w:jc w:val="center"/>
              <w:rPr>
                <w:rFonts w:cs="Calibri"/>
                <w:b/>
                <w:bCs/>
                <w:i/>
                <w:iCs/>
                <w:color w:val="000000"/>
                <w:sz w:val="14"/>
                <w:szCs w:val="14"/>
              </w:rPr>
            </w:pPr>
            <w:r w:rsidRPr="006E5276">
              <w:rPr>
                <w:rFonts w:cs="Calibri"/>
                <w:b/>
                <w:bCs/>
                <w:i/>
                <w:iCs/>
                <w:color w:val="000000"/>
                <w:sz w:val="14"/>
                <w:szCs w:val="14"/>
              </w:rPr>
              <w:t xml:space="preserve">                        1.540,00   </w:t>
            </w:r>
          </w:p>
        </w:tc>
        <w:tc>
          <w:tcPr>
            <w:tcW w:w="1740" w:type="dxa"/>
            <w:tcBorders>
              <w:top w:val="nil"/>
              <w:left w:val="nil"/>
              <w:bottom w:val="single" w:sz="8" w:space="0" w:color="CFCA03"/>
              <w:right w:val="single" w:sz="8" w:space="0" w:color="CFCA03"/>
            </w:tcBorders>
            <w:shd w:val="clear" w:color="auto" w:fill="auto"/>
            <w:vAlign w:val="center"/>
            <w:hideMark/>
          </w:tcPr>
          <w:p w14:paraId="240FA5DA" w14:textId="77777777" w:rsidR="00801F4F" w:rsidRPr="006E5276" w:rsidRDefault="00801F4F" w:rsidP="00FA0EEC">
            <w:pPr>
              <w:jc w:val="center"/>
              <w:rPr>
                <w:rFonts w:cs="Calibri"/>
                <w:b/>
                <w:bCs/>
                <w:i/>
                <w:iCs/>
                <w:color w:val="000000"/>
                <w:sz w:val="14"/>
                <w:szCs w:val="14"/>
              </w:rPr>
            </w:pPr>
            <w:r w:rsidRPr="006E5276">
              <w:rPr>
                <w:rFonts w:cs="Calibri"/>
                <w:b/>
                <w:bCs/>
                <w:i/>
                <w:iCs/>
                <w:color w:val="000000"/>
                <w:sz w:val="14"/>
                <w:szCs w:val="14"/>
              </w:rPr>
              <w:t xml:space="preserve">                      3.094,99   </w:t>
            </w:r>
          </w:p>
        </w:tc>
      </w:tr>
      <w:tr w:rsidR="00801F4F" w:rsidRPr="006E5276" w14:paraId="5D024293"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auto" w:fill="auto"/>
            <w:vAlign w:val="center"/>
            <w:hideMark/>
          </w:tcPr>
          <w:p w14:paraId="33721453" w14:textId="77777777" w:rsidR="00801F4F" w:rsidRPr="006E5276" w:rsidRDefault="00801F4F" w:rsidP="00FA0EEC">
            <w:pPr>
              <w:rPr>
                <w:rFonts w:cs="Calibri"/>
                <w:color w:val="000000"/>
                <w:sz w:val="14"/>
                <w:szCs w:val="14"/>
              </w:rPr>
            </w:pPr>
            <w:r w:rsidRPr="006E5276">
              <w:rPr>
                <w:rFonts w:cs="Calibri"/>
                <w:color w:val="000000"/>
                <w:sz w:val="14"/>
                <w:szCs w:val="14"/>
              </w:rPr>
              <w:t>Spese di consulenza</w:t>
            </w:r>
          </w:p>
        </w:tc>
        <w:tc>
          <w:tcPr>
            <w:tcW w:w="1840" w:type="dxa"/>
            <w:tcBorders>
              <w:top w:val="nil"/>
              <w:left w:val="nil"/>
              <w:bottom w:val="single" w:sz="8" w:space="0" w:color="CFCA03"/>
              <w:right w:val="single" w:sz="8" w:space="0" w:color="CFCA03"/>
            </w:tcBorders>
            <w:shd w:val="clear" w:color="auto" w:fill="auto"/>
            <w:vAlign w:val="center"/>
            <w:hideMark/>
          </w:tcPr>
          <w:p w14:paraId="3A827890" w14:textId="77777777" w:rsidR="00801F4F" w:rsidRPr="006E5276" w:rsidRDefault="00801F4F" w:rsidP="00FA0EEC">
            <w:pPr>
              <w:jc w:val="center"/>
              <w:rPr>
                <w:rFonts w:cs="Calibri"/>
                <w:color w:val="000000"/>
                <w:sz w:val="14"/>
                <w:szCs w:val="14"/>
              </w:rPr>
            </w:pPr>
            <w:r w:rsidRPr="006E5276">
              <w:rPr>
                <w:rFonts w:cs="Calibri"/>
                <w:color w:val="000000"/>
                <w:sz w:val="14"/>
                <w:szCs w:val="14"/>
              </w:rPr>
              <w:t xml:space="preserve">                          3.323,41   </w:t>
            </w:r>
          </w:p>
        </w:tc>
        <w:tc>
          <w:tcPr>
            <w:tcW w:w="1740" w:type="dxa"/>
            <w:tcBorders>
              <w:top w:val="nil"/>
              <w:left w:val="nil"/>
              <w:bottom w:val="single" w:sz="8" w:space="0" w:color="CFCA03"/>
              <w:right w:val="single" w:sz="8" w:space="0" w:color="CFCA03"/>
            </w:tcBorders>
            <w:shd w:val="clear" w:color="auto" w:fill="auto"/>
            <w:vAlign w:val="center"/>
            <w:hideMark/>
          </w:tcPr>
          <w:p w14:paraId="3A57FFEF" w14:textId="77777777" w:rsidR="00801F4F" w:rsidRPr="006E5276" w:rsidRDefault="00801F4F" w:rsidP="00FA0EEC">
            <w:pPr>
              <w:jc w:val="center"/>
              <w:rPr>
                <w:rFonts w:cs="Calibri"/>
                <w:color w:val="000000"/>
                <w:sz w:val="14"/>
                <w:szCs w:val="14"/>
              </w:rPr>
            </w:pPr>
            <w:r w:rsidRPr="006E5276">
              <w:rPr>
                <w:rFonts w:cs="Calibri"/>
                <w:color w:val="000000"/>
                <w:sz w:val="14"/>
                <w:szCs w:val="14"/>
              </w:rPr>
              <w:t xml:space="preserve">                       3.323,41   </w:t>
            </w:r>
          </w:p>
        </w:tc>
      </w:tr>
      <w:tr w:rsidR="00801F4F" w:rsidRPr="006E5276" w14:paraId="21B899E1"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auto" w:fill="auto"/>
            <w:vAlign w:val="center"/>
            <w:hideMark/>
          </w:tcPr>
          <w:p w14:paraId="3AC0D792" w14:textId="77777777" w:rsidR="00801F4F" w:rsidRPr="006E5276" w:rsidRDefault="00801F4F" w:rsidP="00FA0EEC">
            <w:pPr>
              <w:rPr>
                <w:rFonts w:cs="Calibri"/>
                <w:color w:val="000000"/>
                <w:sz w:val="14"/>
                <w:szCs w:val="14"/>
              </w:rPr>
            </w:pPr>
            <w:r w:rsidRPr="006E5276">
              <w:rPr>
                <w:rFonts w:cs="Calibri"/>
                <w:color w:val="000000"/>
                <w:sz w:val="14"/>
                <w:szCs w:val="14"/>
              </w:rPr>
              <w:t>Spese di traduzione</w:t>
            </w:r>
          </w:p>
        </w:tc>
        <w:tc>
          <w:tcPr>
            <w:tcW w:w="1840" w:type="dxa"/>
            <w:tcBorders>
              <w:top w:val="nil"/>
              <w:left w:val="nil"/>
              <w:bottom w:val="single" w:sz="8" w:space="0" w:color="CFCA03"/>
              <w:right w:val="single" w:sz="8" w:space="0" w:color="CFCA03"/>
            </w:tcBorders>
            <w:shd w:val="clear" w:color="auto" w:fill="auto"/>
            <w:vAlign w:val="center"/>
            <w:hideMark/>
          </w:tcPr>
          <w:p w14:paraId="131AD189" w14:textId="77777777" w:rsidR="00801F4F" w:rsidRPr="006E5276" w:rsidRDefault="00801F4F" w:rsidP="00FA0EEC">
            <w:pPr>
              <w:jc w:val="center"/>
              <w:rPr>
                <w:rFonts w:cs="Calibri"/>
                <w:color w:val="000000"/>
                <w:sz w:val="14"/>
                <w:szCs w:val="14"/>
              </w:rPr>
            </w:pPr>
            <w:r w:rsidRPr="006E5276">
              <w:rPr>
                <w:rFonts w:cs="Calibri"/>
                <w:color w:val="000000"/>
                <w:sz w:val="14"/>
                <w:szCs w:val="14"/>
              </w:rPr>
              <w:t xml:space="preserve">                          1.090,26   </w:t>
            </w:r>
          </w:p>
        </w:tc>
        <w:tc>
          <w:tcPr>
            <w:tcW w:w="1740" w:type="dxa"/>
            <w:tcBorders>
              <w:top w:val="nil"/>
              <w:left w:val="nil"/>
              <w:bottom w:val="single" w:sz="8" w:space="0" w:color="CFCA03"/>
              <w:right w:val="single" w:sz="8" w:space="0" w:color="CFCA03"/>
            </w:tcBorders>
            <w:shd w:val="clear" w:color="auto" w:fill="auto"/>
            <w:vAlign w:val="center"/>
            <w:hideMark/>
          </w:tcPr>
          <w:p w14:paraId="06E531EA" w14:textId="77777777" w:rsidR="00801F4F" w:rsidRPr="006E5276" w:rsidRDefault="00801F4F" w:rsidP="00FA0EEC">
            <w:pPr>
              <w:jc w:val="center"/>
              <w:rPr>
                <w:rFonts w:cs="Calibri"/>
                <w:color w:val="000000"/>
                <w:sz w:val="14"/>
                <w:szCs w:val="14"/>
              </w:rPr>
            </w:pPr>
            <w:r w:rsidRPr="006E5276">
              <w:rPr>
                <w:rFonts w:cs="Calibri"/>
                <w:color w:val="000000"/>
                <w:sz w:val="14"/>
                <w:szCs w:val="14"/>
              </w:rPr>
              <w:t xml:space="preserve">                       1.090,26   </w:t>
            </w:r>
          </w:p>
        </w:tc>
      </w:tr>
      <w:tr w:rsidR="00801F4F" w:rsidRPr="006E5276" w14:paraId="5E6A3242"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auto" w:fill="auto"/>
            <w:vAlign w:val="center"/>
            <w:hideMark/>
          </w:tcPr>
          <w:p w14:paraId="41F4053C" w14:textId="77777777" w:rsidR="00801F4F" w:rsidRPr="006E5276" w:rsidRDefault="00801F4F" w:rsidP="00FA0EEC">
            <w:pPr>
              <w:rPr>
                <w:rFonts w:cs="Calibri"/>
                <w:b/>
                <w:bCs/>
                <w:i/>
                <w:iCs/>
                <w:color w:val="000000"/>
                <w:sz w:val="14"/>
                <w:szCs w:val="14"/>
              </w:rPr>
            </w:pPr>
            <w:r w:rsidRPr="006E5276">
              <w:rPr>
                <w:rFonts w:cs="Calibri"/>
                <w:b/>
                <w:bCs/>
                <w:i/>
                <w:iCs/>
                <w:color w:val="000000"/>
                <w:sz w:val="14"/>
                <w:szCs w:val="14"/>
              </w:rPr>
              <w:t>B) Totale spese di consulenza</w:t>
            </w:r>
          </w:p>
        </w:tc>
        <w:tc>
          <w:tcPr>
            <w:tcW w:w="1840" w:type="dxa"/>
            <w:tcBorders>
              <w:top w:val="nil"/>
              <w:left w:val="nil"/>
              <w:bottom w:val="single" w:sz="8" w:space="0" w:color="CFCA03"/>
              <w:right w:val="single" w:sz="8" w:space="0" w:color="CFCA03"/>
            </w:tcBorders>
            <w:shd w:val="clear" w:color="auto" w:fill="auto"/>
            <w:vAlign w:val="center"/>
            <w:hideMark/>
          </w:tcPr>
          <w:p w14:paraId="4979A6FD" w14:textId="77777777" w:rsidR="00801F4F" w:rsidRPr="006E5276" w:rsidRDefault="00801F4F" w:rsidP="00FA0EEC">
            <w:pPr>
              <w:jc w:val="center"/>
              <w:rPr>
                <w:rFonts w:cs="Calibri"/>
                <w:b/>
                <w:bCs/>
                <w:i/>
                <w:iCs/>
                <w:color w:val="000000"/>
                <w:sz w:val="14"/>
                <w:szCs w:val="14"/>
              </w:rPr>
            </w:pPr>
            <w:r w:rsidRPr="006E5276">
              <w:rPr>
                <w:rFonts w:cs="Calibri"/>
                <w:b/>
                <w:bCs/>
                <w:i/>
                <w:iCs/>
                <w:color w:val="000000"/>
                <w:sz w:val="14"/>
                <w:szCs w:val="14"/>
              </w:rPr>
              <w:t xml:space="preserve">                          4.413,67   </w:t>
            </w:r>
          </w:p>
        </w:tc>
        <w:tc>
          <w:tcPr>
            <w:tcW w:w="1740" w:type="dxa"/>
            <w:tcBorders>
              <w:top w:val="nil"/>
              <w:left w:val="nil"/>
              <w:bottom w:val="single" w:sz="8" w:space="0" w:color="CFCA03"/>
              <w:right w:val="single" w:sz="8" w:space="0" w:color="CFCA03"/>
            </w:tcBorders>
            <w:shd w:val="clear" w:color="auto" w:fill="auto"/>
            <w:vAlign w:val="center"/>
            <w:hideMark/>
          </w:tcPr>
          <w:p w14:paraId="5B0809BB" w14:textId="77777777" w:rsidR="00801F4F" w:rsidRPr="006E5276" w:rsidRDefault="00801F4F" w:rsidP="00FA0EEC">
            <w:pPr>
              <w:jc w:val="center"/>
              <w:rPr>
                <w:rFonts w:cs="Calibri"/>
                <w:b/>
                <w:bCs/>
                <w:i/>
                <w:iCs/>
                <w:color w:val="000000"/>
                <w:sz w:val="14"/>
                <w:szCs w:val="14"/>
              </w:rPr>
            </w:pPr>
            <w:r w:rsidRPr="006E5276">
              <w:rPr>
                <w:rFonts w:cs="Calibri"/>
                <w:b/>
                <w:bCs/>
                <w:i/>
                <w:iCs/>
                <w:color w:val="000000"/>
                <w:sz w:val="14"/>
                <w:szCs w:val="14"/>
              </w:rPr>
              <w:t xml:space="preserve">                       4.413,67   </w:t>
            </w:r>
          </w:p>
        </w:tc>
      </w:tr>
      <w:tr w:rsidR="00801F4F" w:rsidRPr="006E5276" w14:paraId="1E9F6CC5"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000000" w:fill="FFFFFF"/>
            <w:vAlign w:val="center"/>
            <w:hideMark/>
          </w:tcPr>
          <w:p w14:paraId="2B16FA53" w14:textId="77777777" w:rsidR="00801F4F" w:rsidRPr="006E5276" w:rsidRDefault="00801F4F" w:rsidP="00FA0EEC">
            <w:pPr>
              <w:rPr>
                <w:rFonts w:cs="Calibri"/>
                <w:b/>
                <w:bCs/>
                <w:color w:val="000000"/>
                <w:sz w:val="14"/>
                <w:szCs w:val="14"/>
              </w:rPr>
            </w:pPr>
            <w:r w:rsidRPr="006E5276">
              <w:rPr>
                <w:rFonts w:cs="Calibri"/>
                <w:b/>
                <w:bCs/>
                <w:color w:val="000000"/>
                <w:sz w:val="14"/>
                <w:szCs w:val="14"/>
              </w:rPr>
              <w:t>C)=(A+B) Totale costi diretti</w:t>
            </w:r>
          </w:p>
        </w:tc>
        <w:tc>
          <w:tcPr>
            <w:tcW w:w="1840" w:type="dxa"/>
            <w:tcBorders>
              <w:top w:val="nil"/>
              <w:left w:val="nil"/>
              <w:bottom w:val="single" w:sz="8" w:space="0" w:color="CFCA03"/>
              <w:right w:val="single" w:sz="8" w:space="0" w:color="CFCA03"/>
            </w:tcBorders>
            <w:shd w:val="clear" w:color="000000" w:fill="FFFFFF"/>
            <w:vAlign w:val="center"/>
            <w:hideMark/>
          </w:tcPr>
          <w:p w14:paraId="2B8E0EA8"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5.953,67   </w:t>
            </w:r>
          </w:p>
        </w:tc>
        <w:tc>
          <w:tcPr>
            <w:tcW w:w="1740" w:type="dxa"/>
            <w:tcBorders>
              <w:top w:val="nil"/>
              <w:left w:val="nil"/>
              <w:bottom w:val="single" w:sz="8" w:space="0" w:color="CFCA03"/>
              <w:right w:val="single" w:sz="8" w:space="0" w:color="CFCA03"/>
            </w:tcBorders>
            <w:shd w:val="clear" w:color="000000" w:fill="FFFFFF"/>
            <w:vAlign w:val="center"/>
            <w:hideMark/>
          </w:tcPr>
          <w:p w14:paraId="03D507F8"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7.508,66   </w:t>
            </w:r>
          </w:p>
        </w:tc>
      </w:tr>
      <w:tr w:rsidR="00801F4F" w:rsidRPr="006E5276" w14:paraId="41FA888F"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auto" w:fill="auto"/>
            <w:vAlign w:val="center"/>
            <w:hideMark/>
          </w:tcPr>
          <w:p w14:paraId="651C7377" w14:textId="77777777" w:rsidR="00801F4F" w:rsidRPr="006E5276" w:rsidRDefault="00801F4F" w:rsidP="00FA0EEC">
            <w:pPr>
              <w:rPr>
                <w:rFonts w:cs="Calibri"/>
                <w:b/>
                <w:bCs/>
                <w:i/>
                <w:iCs/>
                <w:color w:val="000000"/>
                <w:sz w:val="14"/>
                <w:szCs w:val="14"/>
              </w:rPr>
            </w:pPr>
            <w:r w:rsidRPr="006E5276">
              <w:rPr>
                <w:rFonts w:cs="Calibri"/>
                <w:b/>
                <w:bCs/>
                <w:i/>
                <w:iCs/>
                <w:color w:val="000000"/>
                <w:sz w:val="14"/>
                <w:szCs w:val="14"/>
              </w:rPr>
              <w:t>D)=(C*20%) Spese di personale</w:t>
            </w:r>
          </w:p>
        </w:tc>
        <w:tc>
          <w:tcPr>
            <w:tcW w:w="1840" w:type="dxa"/>
            <w:tcBorders>
              <w:top w:val="nil"/>
              <w:left w:val="nil"/>
              <w:bottom w:val="single" w:sz="8" w:space="0" w:color="CFCA03"/>
              <w:right w:val="single" w:sz="8" w:space="0" w:color="CFCA03"/>
            </w:tcBorders>
            <w:shd w:val="clear" w:color="auto" w:fill="auto"/>
            <w:vAlign w:val="center"/>
            <w:hideMark/>
          </w:tcPr>
          <w:p w14:paraId="0F869B63" w14:textId="77777777" w:rsidR="00801F4F" w:rsidRPr="006E5276" w:rsidRDefault="00801F4F" w:rsidP="00FA0EEC">
            <w:pPr>
              <w:jc w:val="center"/>
              <w:rPr>
                <w:rFonts w:cs="Calibri"/>
                <w:b/>
                <w:bCs/>
                <w:i/>
                <w:iCs/>
                <w:color w:val="000000"/>
                <w:sz w:val="14"/>
                <w:szCs w:val="14"/>
              </w:rPr>
            </w:pPr>
            <w:r w:rsidRPr="006E5276">
              <w:rPr>
                <w:rFonts w:cs="Calibri"/>
                <w:b/>
                <w:bCs/>
                <w:i/>
                <w:iCs/>
                <w:color w:val="000000"/>
                <w:sz w:val="14"/>
                <w:szCs w:val="14"/>
              </w:rPr>
              <w:t xml:space="preserve">                         1.190,73   </w:t>
            </w:r>
          </w:p>
        </w:tc>
        <w:tc>
          <w:tcPr>
            <w:tcW w:w="1740" w:type="dxa"/>
            <w:tcBorders>
              <w:top w:val="nil"/>
              <w:left w:val="nil"/>
              <w:bottom w:val="single" w:sz="8" w:space="0" w:color="CFCA03"/>
              <w:right w:val="single" w:sz="8" w:space="0" w:color="CFCA03"/>
            </w:tcBorders>
            <w:shd w:val="clear" w:color="auto" w:fill="auto"/>
            <w:vAlign w:val="center"/>
            <w:hideMark/>
          </w:tcPr>
          <w:p w14:paraId="3A03E1CF" w14:textId="77777777" w:rsidR="00801F4F" w:rsidRPr="006E5276" w:rsidRDefault="00801F4F" w:rsidP="00FA0EEC">
            <w:pPr>
              <w:jc w:val="center"/>
              <w:rPr>
                <w:rFonts w:cs="Calibri"/>
                <w:b/>
                <w:bCs/>
                <w:i/>
                <w:iCs/>
                <w:color w:val="000000"/>
                <w:sz w:val="14"/>
                <w:szCs w:val="14"/>
              </w:rPr>
            </w:pPr>
            <w:r w:rsidRPr="006E5276">
              <w:rPr>
                <w:rFonts w:cs="Calibri"/>
                <w:b/>
                <w:bCs/>
                <w:i/>
                <w:iCs/>
                <w:color w:val="000000"/>
                <w:sz w:val="14"/>
                <w:szCs w:val="14"/>
              </w:rPr>
              <w:t xml:space="preserve">                       1.501,73   </w:t>
            </w:r>
          </w:p>
        </w:tc>
      </w:tr>
      <w:tr w:rsidR="00801F4F" w:rsidRPr="006E5276" w14:paraId="0D9AFCED"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000000" w:fill="FFFFFF"/>
            <w:vAlign w:val="center"/>
            <w:hideMark/>
          </w:tcPr>
          <w:p w14:paraId="43559EEE" w14:textId="77777777" w:rsidR="00801F4F" w:rsidRPr="006E5276" w:rsidRDefault="00801F4F" w:rsidP="00FA0EEC">
            <w:pPr>
              <w:rPr>
                <w:rFonts w:cs="Calibri"/>
                <w:b/>
                <w:bCs/>
                <w:color w:val="000000"/>
                <w:sz w:val="14"/>
                <w:szCs w:val="14"/>
              </w:rPr>
            </w:pPr>
            <w:r w:rsidRPr="006E5276">
              <w:rPr>
                <w:rFonts w:cs="Calibri"/>
                <w:b/>
                <w:bCs/>
                <w:color w:val="000000"/>
                <w:sz w:val="14"/>
                <w:szCs w:val="14"/>
              </w:rPr>
              <w:t>E)=(C+D) Totale costi</w:t>
            </w:r>
          </w:p>
        </w:tc>
        <w:tc>
          <w:tcPr>
            <w:tcW w:w="1840" w:type="dxa"/>
            <w:tcBorders>
              <w:top w:val="nil"/>
              <w:left w:val="nil"/>
              <w:bottom w:val="single" w:sz="8" w:space="0" w:color="CFCA03"/>
              <w:right w:val="single" w:sz="8" w:space="0" w:color="CFCA03"/>
            </w:tcBorders>
            <w:shd w:val="clear" w:color="000000" w:fill="FFFFFF"/>
            <w:vAlign w:val="center"/>
            <w:hideMark/>
          </w:tcPr>
          <w:p w14:paraId="46BEE727"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7.144,40   </w:t>
            </w:r>
          </w:p>
        </w:tc>
        <w:tc>
          <w:tcPr>
            <w:tcW w:w="1740" w:type="dxa"/>
            <w:tcBorders>
              <w:top w:val="nil"/>
              <w:left w:val="nil"/>
              <w:bottom w:val="single" w:sz="8" w:space="0" w:color="CFCA03"/>
              <w:right w:val="single" w:sz="8" w:space="0" w:color="CFCA03"/>
            </w:tcBorders>
            <w:shd w:val="clear" w:color="000000" w:fill="FFFFFF"/>
            <w:vAlign w:val="center"/>
            <w:hideMark/>
          </w:tcPr>
          <w:p w14:paraId="24B6A314"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9.010,39   </w:t>
            </w:r>
          </w:p>
        </w:tc>
      </w:tr>
      <w:tr w:rsidR="00801F4F" w:rsidRPr="006E5276" w14:paraId="176FF348"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000000" w:fill="FFFFFF"/>
            <w:vAlign w:val="center"/>
            <w:hideMark/>
          </w:tcPr>
          <w:p w14:paraId="0DE5CE97" w14:textId="77777777" w:rsidR="00801F4F" w:rsidRPr="006E5276" w:rsidRDefault="00801F4F" w:rsidP="00FA0EEC">
            <w:pPr>
              <w:rPr>
                <w:rFonts w:cs="Calibri"/>
                <w:b/>
                <w:bCs/>
                <w:color w:val="000000"/>
                <w:sz w:val="14"/>
                <w:szCs w:val="14"/>
              </w:rPr>
            </w:pPr>
            <w:r w:rsidRPr="006E5276">
              <w:rPr>
                <w:rFonts w:cs="Calibri"/>
                <w:b/>
                <w:bCs/>
                <w:color w:val="000000"/>
                <w:sz w:val="14"/>
                <w:szCs w:val="14"/>
              </w:rPr>
              <w:t>Aumento costi di produzione +10%</w:t>
            </w:r>
          </w:p>
        </w:tc>
        <w:tc>
          <w:tcPr>
            <w:tcW w:w="1840" w:type="dxa"/>
            <w:tcBorders>
              <w:top w:val="nil"/>
              <w:left w:val="nil"/>
              <w:bottom w:val="single" w:sz="8" w:space="0" w:color="CFCA03"/>
              <w:right w:val="single" w:sz="8" w:space="0" w:color="CFCA03"/>
            </w:tcBorders>
            <w:shd w:val="clear" w:color="000000" w:fill="FFFFFF"/>
            <w:vAlign w:val="center"/>
            <w:hideMark/>
          </w:tcPr>
          <w:p w14:paraId="44333D10"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714,44   </w:t>
            </w:r>
          </w:p>
        </w:tc>
        <w:tc>
          <w:tcPr>
            <w:tcW w:w="1740" w:type="dxa"/>
            <w:tcBorders>
              <w:top w:val="nil"/>
              <w:left w:val="nil"/>
              <w:bottom w:val="single" w:sz="8" w:space="0" w:color="CFCA03"/>
              <w:right w:val="single" w:sz="8" w:space="0" w:color="CFCA03"/>
            </w:tcBorders>
            <w:shd w:val="clear" w:color="000000" w:fill="FFFFFF"/>
            <w:vAlign w:val="center"/>
            <w:hideMark/>
          </w:tcPr>
          <w:p w14:paraId="7CBA7037"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901,04   </w:t>
            </w:r>
          </w:p>
        </w:tc>
      </w:tr>
      <w:tr w:rsidR="00801F4F" w:rsidRPr="006E5276" w14:paraId="56F0315D"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000000" w:fill="FFFFFF"/>
            <w:vAlign w:val="center"/>
            <w:hideMark/>
          </w:tcPr>
          <w:p w14:paraId="3CD4CA07" w14:textId="77777777" w:rsidR="00801F4F" w:rsidRPr="006E5276" w:rsidRDefault="00801F4F" w:rsidP="00FA0EEC">
            <w:pPr>
              <w:rPr>
                <w:rFonts w:cs="Calibri"/>
                <w:b/>
                <w:bCs/>
                <w:color w:val="000000"/>
                <w:sz w:val="14"/>
                <w:szCs w:val="14"/>
              </w:rPr>
            </w:pPr>
            <w:r w:rsidRPr="006E5276">
              <w:rPr>
                <w:rFonts w:cs="Calibri"/>
                <w:b/>
                <w:bCs/>
                <w:color w:val="000000"/>
                <w:sz w:val="14"/>
                <w:szCs w:val="14"/>
              </w:rPr>
              <w:t>Totale parziale</w:t>
            </w:r>
          </w:p>
        </w:tc>
        <w:tc>
          <w:tcPr>
            <w:tcW w:w="1840" w:type="dxa"/>
            <w:tcBorders>
              <w:top w:val="nil"/>
              <w:left w:val="nil"/>
              <w:bottom w:val="single" w:sz="8" w:space="0" w:color="CFCA03"/>
              <w:right w:val="single" w:sz="8" w:space="0" w:color="CFCA03"/>
            </w:tcBorders>
            <w:shd w:val="clear" w:color="000000" w:fill="FFFFFF"/>
            <w:vAlign w:val="center"/>
            <w:hideMark/>
          </w:tcPr>
          <w:p w14:paraId="4A574336"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7.858,84   </w:t>
            </w:r>
          </w:p>
        </w:tc>
        <w:tc>
          <w:tcPr>
            <w:tcW w:w="1740" w:type="dxa"/>
            <w:tcBorders>
              <w:top w:val="nil"/>
              <w:left w:val="nil"/>
              <w:bottom w:val="single" w:sz="8" w:space="0" w:color="CFCA03"/>
              <w:right w:val="single" w:sz="8" w:space="0" w:color="CFCA03"/>
            </w:tcBorders>
            <w:shd w:val="clear" w:color="000000" w:fill="FFFFFF"/>
            <w:vAlign w:val="center"/>
            <w:hideMark/>
          </w:tcPr>
          <w:p w14:paraId="10BA5233"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9.911,43   </w:t>
            </w:r>
          </w:p>
        </w:tc>
      </w:tr>
      <w:tr w:rsidR="00801F4F" w:rsidRPr="006E5276" w14:paraId="5F7AEF28"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000000" w:fill="FFFFFF"/>
            <w:vAlign w:val="center"/>
            <w:hideMark/>
          </w:tcPr>
          <w:p w14:paraId="57A29786" w14:textId="77777777" w:rsidR="00801F4F" w:rsidRPr="006E5276" w:rsidRDefault="00801F4F" w:rsidP="00FA0EEC">
            <w:pPr>
              <w:rPr>
                <w:rFonts w:cs="Calibri"/>
                <w:b/>
                <w:bCs/>
                <w:color w:val="000000"/>
                <w:sz w:val="14"/>
                <w:szCs w:val="14"/>
              </w:rPr>
            </w:pPr>
            <w:r w:rsidRPr="006E5276">
              <w:rPr>
                <w:rFonts w:cs="Calibri"/>
                <w:b/>
                <w:bCs/>
                <w:color w:val="000000"/>
                <w:sz w:val="14"/>
                <w:szCs w:val="14"/>
              </w:rPr>
              <w:t>Cofinanziamento impresa -50%</w:t>
            </w:r>
          </w:p>
        </w:tc>
        <w:tc>
          <w:tcPr>
            <w:tcW w:w="1840" w:type="dxa"/>
            <w:tcBorders>
              <w:top w:val="nil"/>
              <w:left w:val="nil"/>
              <w:bottom w:val="single" w:sz="8" w:space="0" w:color="CFCA03"/>
              <w:right w:val="single" w:sz="8" w:space="0" w:color="CFCA03"/>
            </w:tcBorders>
            <w:shd w:val="clear" w:color="000000" w:fill="FFFFFF"/>
            <w:vAlign w:val="center"/>
            <w:hideMark/>
          </w:tcPr>
          <w:p w14:paraId="139BC83F"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3.929,42   </w:t>
            </w:r>
          </w:p>
        </w:tc>
        <w:tc>
          <w:tcPr>
            <w:tcW w:w="1740" w:type="dxa"/>
            <w:tcBorders>
              <w:top w:val="nil"/>
              <w:left w:val="nil"/>
              <w:bottom w:val="single" w:sz="8" w:space="0" w:color="CFCA03"/>
              <w:right w:val="single" w:sz="8" w:space="0" w:color="CFCA03"/>
            </w:tcBorders>
            <w:shd w:val="clear" w:color="000000" w:fill="FFFFFF"/>
            <w:vAlign w:val="center"/>
            <w:hideMark/>
          </w:tcPr>
          <w:p w14:paraId="5A5DE72F"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4.955,71   </w:t>
            </w:r>
          </w:p>
        </w:tc>
      </w:tr>
      <w:tr w:rsidR="00801F4F" w:rsidRPr="006E5276" w14:paraId="2B7E039C"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000000" w:fill="FFFFFF"/>
            <w:vAlign w:val="center"/>
            <w:hideMark/>
          </w:tcPr>
          <w:p w14:paraId="0A35BFC1" w14:textId="77777777" w:rsidR="00801F4F" w:rsidRPr="006E5276" w:rsidRDefault="00801F4F" w:rsidP="00FA0EEC">
            <w:pPr>
              <w:rPr>
                <w:rFonts w:cs="Calibri"/>
                <w:b/>
                <w:bCs/>
                <w:color w:val="000000"/>
                <w:sz w:val="14"/>
                <w:szCs w:val="14"/>
              </w:rPr>
            </w:pPr>
            <w:r w:rsidRPr="006E5276">
              <w:rPr>
                <w:rFonts w:cs="Calibri"/>
                <w:b/>
                <w:bCs/>
                <w:color w:val="000000"/>
                <w:sz w:val="14"/>
                <w:szCs w:val="14"/>
              </w:rPr>
              <w:t xml:space="preserve">Somma forfettaria </w:t>
            </w:r>
          </w:p>
        </w:tc>
        <w:tc>
          <w:tcPr>
            <w:tcW w:w="1840" w:type="dxa"/>
            <w:tcBorders>
              <w:top w:val="nil"/>
              <w:left w:val="nil"/>
              <w:bottom w:val="single" w:sz="8" w:space="0" w:color="CFCA03"/>
              <w:right w:val="single" w:sz="8" w:space="0" w:color="CFCA03"/>
            </w:tcBorders>
            <w:shd w:val="clear" w:color="000000" w:fill="FFFFFF"/>
            <w:vAlign w:val="center"/>
            <w:hideMark/>
          </w:tcPr>
          <w:p w14:paraId="4B0A0A02"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3.929,42   </w:t>
            </w:r>
          </w:p>
        </w:tc>
        <w:tc>
          <w:tcPr>
            <w:tcW w:w="1740" w:type="dxa"/>
            <w:tcBorders>
              <w:top w:val="nil"/>
              <w:left w:val="nil"/>
              <w:bottom w:val="single" w:sz="8" w:space="0" w:color="CFCA03"/>
              <w:right w:val="single" w:sz="8" w:space="0" w:color="CFCA03"/>
            </w:tcBorders>
            <w:shd w:val="clear" w:color="000000" w:fill="FFFFFF"/>
            <w:vAlign w:val="center"/>
            <w:hideMark/>
          </w:tcPr>
          <w:p w14:paraId="5B2EBFB9"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4.955,71   </w:t>
            </w:r>
          </w:p>
        </w:tc>
      </w:tr>
      <w:tr w:rsidR="00801F4F" w:rsidRPr="006E5276" w14:paraId="67614848" w14:textId="77777777" w:rsidTr="00FA0EEC">
        <w:trPr>
          <w:trHeight w:val="300"/>
          <w:jc w:val="center"/>
        </w:trPr>
        <w:tc>
          <w:tcPr>
            <w:tcW w:w="3280" w:type="dxa"/>
            <w:tcBorders>
              <w:top w:val="nil"/>
              <w:left w:val="single" w:sz="8" w:space="0" w:color="CFCA03"/>
              <w:bottom w:val="single" w:sz="8" w:space="0" w:color="CFCA03"/>
              <w:right w:val="single" w:sz="8" w:space="0" w:color="CFCA03"/>
            </w:tcBorders>
            <w:shd w:val="clear" w:color="000000" w:fill="D9D9D9"/>
            <w:vAlign w:val="center"/>
            <w:hideMark/>
          </w:tcPr>
          <w:p w14:paraId="1C5D44A0" w14:textId="77777777" w:rsidR="00801F4F" w:rsidRPr="006E5276" w:rsidRDefault="00801F4F" w:rsidP="00FA0EEC">
            <w:pPr>
              <w:rPr>
                <w:rFonts w:cs="Calibri"/>
                <w:b/>
                <w:bCs/>
                <w:color w:val="000000"/>
                <w:sz w:val="14"/>
                <w:szCs w:val="14"/>
              </w:rPr>
            </w:pPr>
            <w:r w:rsidRPr="006E5276">
              <w:rPr>
                <w:rFonts w:cs="Calibri"/>
                <w:b/>
                <w:bCs/>
                <w:color w:val="000000"/>
                <w:sz w:val="14"/>
                <w:szCs w:val="14"/>
              </w:rPr>
              <w:t>Somma forfettaria (arrotondamento)</w:t>
            </w:r>
          </w:p>
        </w:tc>
        <w:tc>
          <w:tcPr>
            <w:tcW w:w="1840" w:type="dxa"/>
            <w:tcBorders>
              <w:top w:val="nil"/>
              <w:left w:val="nil"/>
              <w:bottom w:val="single" w:sz="8" w:space="0" w:color="CFCA03"/>
              <w:right w:val="single" w:sz="8" w:space="0" w:color="CFCA03"/>
            </w:tcBorders>
            <w:shd w:val="clear" w:color="000000" w:fill="D9D9D9"/>
            <w:vAlign w:val="center"/>
            <w:hideMark/>
          </w:tcPr>
          <w:p w14:paraId="411E7682" w14:textId="77777777" w:rsidR="00801F4F" w:rsidRPr="006E5276" w:rsidRDefault="00801F4F" w:rsidP="00FA0EEC">
            <w:pPr>
              <w:jc w:val="center"/>
              <w:rPr>
                <w:rFonts w:cs="Calibri"/>
                <w:b/>
                <w:bCs/>
                <w:color w:val="000000"/>
                <w:sz w:val="14"/>
                <w:szCs w:val="14"/>
              </w:rPr>
            </w:pPr>
            <w:r w:rsidRPr="006E5276">
              <w:rPr>
                <w:rFonts w:cs="Calibri"/>
                <w:b/>
                <w:bCs/>
                <w:color w:val="000000"/>
                <w:sz w:val="14"/>
                <w:szCs w:val="14"/>
              </w:rPr>
              <w:t xml:space="preserve">                          4.000,00   </w:t>
            </w:r>
          </w:p>
        </w:tc>
        <w:tc>
          <w:tcPr>
            <w:tcW w:w="1740" w:type="dxa"/>
            <w:tcBorders>
              <w:top w:val="nil"/>
              <w:left w:val="nil"/>
              <w:bottom w:val="single" w:sz="8" w:space="0" w:color="CFCA03"/>
              <w:right w:val="single" w:sz="8" w:space="0" w:color="CFCA03"/>
            </w:tcBorders>
            <w:shd w:val="clear" w:color="000000" w:fill="D9D9D9"/>
            <w:vAlign w:val="center"/>
            <w:hideMark/>
          </w:tcPr>
          <w:p w14:paraId="48B51E89" w14:textId="77777777" w:rsidR="00801F4F" w:rsidRPr="006E5276" w:rsidRDefault="00801F4F" w:rsidP="00FA0EEC">
            <w:pPr>
              <w:keepNext/>
              <w:jc w:val="center"/>
              <w:rPr>
                <w:rFonts w:cs="Calibri"/>
                <w:b/>
                <w:bCs/>
                <w:color w:val="000000"/>
                <w:sz w:val="14"/>
                <w:szCs w:val="14"/>
              </w:rPr>
            </w:pPr>
            <w:r w:rsidRPr="006E5276">
              <w:rPr>
                <w:rFonts w:cs="Calibri"/>
                <w:b/>
                <w:bCs/>
                <w:color w:val="000000"/>
                <w:sz w:val="14"/>
                <w:szCs w:val="14"/>
              </w:rPr>
              <w:t xml:space="preserve">                       5.000,00   </w:t>
            </w:r>
          </w:p>
        </w:tc>
      </w:tr>
    </w:tbl>
    <w:bookmarkStart w:id="39" w:name="_Toc83204186"/>
    <w:bookmarkStart w:id="40" w:name="_Toc149065980"/>
    <w:bookmarkStart w:id="41" w:name="_Toc149133893"/>
    <w:p w14:paraId="2CF1AB60" w14:textId="4A295DC3" w:rsidR="00801F4F" w:rsidRPr="006E5276" w:rsidRDefault="00801F4F" w:rsidP="00801F4F">
      <w:pPr>
        <w:pStyle w:val="Titolo3"/>
      </w:pPr>
      <w:r>
        <w:fldChar w:fldCharType="begin"/>
      </w:r>
      <w:r>
        <w:instrText xml:space="preserve"> AUTONUMLGL   </w:instrText>
      </w:r>
      <w:bookmarkStart w:id="42" w:name="_Toc189753943"/>
      <w:r>
        <w:fldChar w:fldCharType="end"/>
      </w:r>
      <w:r>
        <w:tab/>
      </w:r>
      <w:r w:rsidRPr="006E5276">
        <w:t>Conclusioni</w:t>
      </w:r>
      <w:bookmarkEnd w:id="39"/>
      <w:bookmarkEnd w:id="40"/>
      <w:bookmarkEnd w:id="41"/>
      <w:bookmarkEnd w:id="42"/>
    </w:p>
    <w:p w14:paraId="4E485379" w14:textId="77777777" w:rsidR="00801F4F" w:rsidRPr="00312D63" w:rsidRDefault="00801F4F" w:rsidP="00801F4F">
      <w:r w:rsidRPr="0055655F">
        <w:t>Sulla base di quanto fin qui esposto e delle attività previste dall’Avviso verrebbe definita la seguente tabella, la quale individua per ciascuna attività e sotto</w:t>
      </w:r>
      <w:r>
        <w:t xml:space="preserve"> </w:t>
      </w:r>
      <w:r w:rsidRPr="0055655F">
        <w:t>attività sia i valori proposti delle somme forfettarie sia i valori da considerare per l’applicazione di una tabella di costi standard ai progetti di internazionalizzazione.</w:t>
      </w:r>
    </w:p>
    <w:tbl>
      <w:tblPr>
        <w:tblStyle w:val="Grigliatabella"/>
        <w:tblW w:w="0" w:type="auto"/>
        <w:jc w:val="center"/>
        <w:tblBorders>
          <w:top w:val="double" w:sz="4" w:space="0" w:color="2F5496" w:themeColor="accent1" w:themeShade="BF"/>
          <w:left w:val="double" w:sz="4" w:space="0" w:color="2F5496" w:themeColor="accent1" w:themeShade="BF"/>
          <w:bottom w:val="double" w:sz="4" w:space="0" w:color="2F5496" w:themeColor="accent1" w:themeShade="BF"/>
          <w:right w:val="double" w:sz="4" w:space="0" w:color="2F5496" w:themeColor="accent1" w:themeShade="BF"/>
          <w:insideH w:val="single" w:sz="6" w:space="0" w:color="2F5496" w:themeColor="accent1" w:themeShade="BF"/>
          <w:insideV w:val="single" w:sz="6" w:space="0" w:color="2F5496" w:themeColor="accent1" w:themeShade="BF"/>
        </w:tblBorders>
        <w:tblLook w:val="04A0" w:firstRow="1" w:lastRow="0" w:firstColumn="1" w:lastColumn="0" w:noHBand="0" w:noVBand="1"/>
      </w:tblPr>
      <w:tblGrid>
        <w:gridCol w:w="1210"/>
        <w:gridCol w:w="378"/>
        <w:gridCol w:w="2130"/>
        <w:gridCol w:w="1901"/>
        <w:gridCol w:w="1039"/>
        <w:gridCol w:w="1086"/>
      </w:tblGrid>
      <w:tr w:rsidR="00801F4F" w:rsidRPr="006E5276" w14:paraId="6E92E8BC" w14:textId="77777777" w:rsidTr="00FA0EEC">
        <w:trPr>
          <w:jc w:val="center"/>
        </w:trPr>
        <w:tc>
          <w:tcPr>
            <w:tcW w:w="1210" w:type="dxa"/>
            <w:shd w:val="clear" w:color="auto" w:fill="2F5496" w:themeFill="accent1" w:themeFillShade="BF"/>
            <w:vAlign w:val="center"/>
          </w:tcPr>
          <w:p w14:paraId="47B71B61" w14:textId="77777777" w:rsidR="00801F4F" w:rsidRPr="006E5276" w:rsidRDefault="00801F4F" w:rsidP="00FA0EEC">
            <w:pPr>
              <w:jc w:val="center"/>
              <w:rPr>
                <w:color w:val="FFFFFF" w:themeColor="background1"/>
                <w:sz w:val="16"/>
                <w:szCs w:val="16"/>
              </w:rPr>
            </w:pPr>
            <w:r w:rsidRPr="006E5276">
              <w:rPr>
                <w:color w:val="FFFFFF" w:themeColor="background1"/>
                <w:sz w:val="16"/>
                <w:szCs w:val="16"/>
              </w:rPr>
              <w:t>Tipologia intervento</w:t>
            </w:r>
          </w:p>
        </w:tc>
        <w:tc>
          <w:tcPr>
            <w:tcW w:w="378" w:type="dxa"/>
            <w:shd w:val="clear" w:color="auto" w:fill="2F5496" w:themeFill="accent1" w:themeFillShade="BF"/>
            <w:vAlign w:val="center"/>
          </w:tcPr>
          <w:p w14:paraId="56A22A95" w14:textId="77777777" w:rsidR="00801F4F" w:rsidRPr="006E5276" w:rsidRDefault="00801F4F" w:rsidP="00FA0EEC">
            <w:pPr>
              <w:jc w:val="center"/>
              <w:rPr>
                <w:color w:val="FFFFFF" w:themeColor="background1"/>
                <w:sz w:val="16"/>
                <w:szCs w:val="16"/>
              </w:rPr>
            </w:pPr>
            <w:r w:rsidRPr="006E5276">
              <w:rPr>
                <w:color w:val="FFFFFF" w:themeColor="background1"/>
                <w:sz w:val="16"/>
                <w:szCs w:val="16"/>
              </w:rPr>
              <w:t>N.</w:t>
            </w:r>
          </w:p>
        </w:tc>
        <w:tc>
          <w:tcPr>
            <w:tcW w:w="2130" w:type="dxa"/>
            <w:shd w:val="clear" w:color="auto" w:fill="2F5496" w:themeFill="accent1" w:themeFillShade="BF"/>
            <w:vAlign w:val="center"/>
          </w:tcPr>
          <w:p w14:paraId="264887DF" w14:textId="77777777" w:rsidR="00801F4F" w:rsidRPr="006E5276" w:rsidRDefault="00801F4F" w:rsidP="00FA0EEC">
            <w:pPr>
              <w:jc w:val="center"/>
              <w:rPr>
                <w:color w:val="FFFFFF" w:themeColor="background1"/>
                <w:sz w:val="16"/>
                <w:szCs w:val="16"/>
              </w:rPr>
            </w:pPr>
            <w:r w:rsidRPr="006E5276">
              <w:rPr>
                <w:color w:val="FFFFFF" w:themeColor="background1"/>
                <w:sz w:val="16"/>
                <w:szCs w:val="16"/>
              </w:rPr>
              <w:t>Somma forfettaria</w:t>
            </w:r>
          </w:p>
        </w:tc>
        <w:tc>
          <w:tcPr>
            <w:tcW w:w="1901" w:type="dxa"/>
            <w:shd w:val="clear" w:color="auto" w:fill="2F5496" w:themeFill="accent1" w:themeFillShade="BF"/>
            <w:vAlign w:val="center"/>
          </w:tcPr>
          <w:p w14:paraId="47914583" w14:textId="77777777" w:rsidR="00801F4F" w:rsidRPr="006E5276" w:rsidRDefault="00801F4F" w:rsidP="00FA0EEC">
            <w:pPr>
              <w:jc w:val="center"/>
              <w:rPr>
                <w:color w:val="FFFFFF" w:themeColor="background1"/>
                <w:sz w:val="16"/>
                <w:szCs w:val="16"/>
              </w:rPr>
            </w:pPr>
            <w:r w:rsidRPr="006E5276">
              <w:rPr>
                <w:color w:val="FFFFFF" w:themeColor="background1"/>
                <w:sz w:val="16"/>
                <w:szCs w:val="16"/>
              </w:rPr>
              <w:t>Costo standard</w:t>
            </w:r>
          </w:p>
        </w:tc>
        <w:tc>
          <w:tcPr>
            <w:tcW w:w="1039" w:type="dxa"/>
            <w:shd w:val="clear" w:color="auto" w:fill="2F5496" w:themeFill="accent1" w:themeFillShade="BF"/>
          </w:tcPr>
          <w:p w14:paraId="2B2481B7" w14:textId="77777777" w:rsidR="00801F4F" w:rsidRPr="006E5276" w:rsidRDefault="00801F4F" w:rsidP="00FA0EEC">
            <w:pPr>
              <w:jc w:val="center"/>
              <w:rPr>
                <w:color w:val="FFFFFF" w:themeColor="background1"/>
                <w:sz w:val="16"/>
                <w:szCs w:val="16"/>
              </w:rPr>
            </w:pPr>
            <w:r w:rsidRPr="006E5276">
              <w:rPr>
                <w:color w:val="FFFFFF" w:themeColor="background1"/>
                <w:sz w:val="16"/>
                <w:szCs w:val="16"/>
              </w:rPr>
              <w:t>Bonus tematico</w:t>
            </w:r>
          </w:p>
          <w:p w14:paraId="32911C21" w14:textId="77777777" w:rsidR="00801F4F" w:rsidRPr="006E5276" w:rsidRDefault="00801F4F" w:rsidP="00FA0EEC">
            <w:pPr>
              <w:jc w:val="center"/>
              <w:rPr>
                <w:color w:val="FFFFFF" w:themeColor="background1"/>
                <w:sz w:val="16"/>
                <w:szCs w:val="16"/>
              </w:rPr>
            </w:pPr>
            <w:r w:rsidRPr="006E5276">
              <w:rPr>
                <w:color w:val="FFFFFF" w:themeColor="background1"/>
                <w:sz w:val="16"/>
                <w:szCs w:val="16"/>
              </w:rPr>
              <w:t>(se previsto)</w:t>
            </w:r>
          </w:p>
        </w:tc>
        <w:tc>
          <w:tcPr>
            <w:tcW w:w="1086" w:type="dxa"/>
            <w:shd w:val="clear" w:color="auto" w:fill="2F5496" w:themeFill="accent1" w:themeFillShade="BF"/>
          </w:tcPr>
          <w:p w14:paraId="03F0DEE1" w14:textId="77777777" w:rsidR="00801F4F" w:rsidRPr="006E5276" w:rsidRDefault="00801F4F" w:rsidP="00FA0EEC">
            <w:pPr>
              <w:jc w:val="center"/>
              <w:rPr>
                <w:color w:val="FFFFFF" w:themeColor="background1"/>
                <w:sz w:val="16"/>
                <w:szCs w:val="16"/>
              </w:rPr>
            </w:pPr>
            <w:r w:rsidRPr="006E5276">
              <w:rPr>
                <w:color w:val="FFFFFF" w:themeColor="background1"/>
                <w:sz w:val="16"/>
                <w:szCs w:val="16"/>
              </w:rPr>
              <w:t>Bonus geografico</w:t>
            </w:r>
          </w:p>
          <w:p w14:paraId="4AA31CC1" w14:textId="77777777" w:rsidR="00801F4F" w:rsidRPr="006E5276" w:rsidRDefault="00801F4F" w:rsidP="00FA0EEC">
            <w:pPr>
              <w:jc w:val="center"/>
              <w:rPr>
                <w:color w:val="FFFFFF" w:themeColor="background1"/>
                <w:sz w:val="16"/>
                <w:szCs w:val="16"/>
              </w:rPr>
            </w:pPr>
            <w:r w:rsidRPr="006E5276">
              <w:rPr>
                <w:color w:val="FFFFFF" w:themeColor="background1"/>
                <w:sz w:val="16"/>
                <w:szCs w:val="16"/>
              </w:rPr>
              <w:t>(se previsto)</w:t>
            </w:r>
          </w:p>
        </w:tc>
      </w:tr>
      <w:tr w:rsidR="00801F4F" w:rsidRPr="006E5276" w14:paraId="7222D4A2" w14:textId="77777777" w:rsidTr="00FA0EEC">
        <w:trPr>
          <w:trHeight w:val="227"/>
          <w:jc w:val="center"/>
        </w:trPr>
        <w:tc>
          <w:tcPr>
            <w:tcW w:w="1210" w:type="dxa"/>
            <w:vMerge w:val="restart"/>
            <w:shd w:val="clear" w:color="auto" w:fill="C9C9C9" w:themeFill="accent3" w:themeFillTint="99"/>
            <w:vAlign w:val="center"/>
          </w:tcPr>
          <w:p w14:paraId="14F75F39" w14:textId="77777777" w:rsidR="00801F4F" w:rsidRPr="006E5276" w:rsidRDefault="00801F4F" w:rsidP="00FA0EEC">
            <w:pPr>
              <w:jc w:val="center"/>
              <w:rPr>
                <w:sz w:val="16"/>
                <w:szCs w:val="16"/>
              </w:rPr>
            </w:pPr>
            <w:r w:rsidRPr="006E5276">
              <w:rPr>
                <w:sz w:val="16"/>
                <w:szCs w:val="16"/>
              </w:rPr>
              <w:t>A</w:t>
            </w:r>
          </w:p>
        </w:tc>
        <w:tc>
          <w:tcPr>
            <w:tcW w:w="378" w:type="dxa"/>
            <w:shd w:val="clear" w:color="auto" w:fill="C9C9C9" w:themeFill="accent3" w:themeFillTint="99"/>
            <w:vAlign w:val="center"/>
          </w:tcPr>
          <w:p w14:paraId="710CC8F9" w14:textId="77777777" w:rsidR="00801F4F" w:rsidRPr="006E5276" w:rsidRDefault="00801F4F" w:rsidP="00FA0EEC">
            <w:pPr>
              <w:jc w:val="center"/>
              <w:rPr>
                <w:sz w:val="16"/>
                <w:szCs w:val="16"/>
              </w:rPr>
            </w:pPr>
            <w:r w:rsidRPr="006E5276">
              <w:rPr>
                <w:sz w:val="16"/>
                <w:szCs w:val="16"/>
              </w:rPr>
              <w:t>1</w:t>
            </w:r>
          </w:p>
        </w:tc>
        <w:tc>
          <w:tcPr>
            <w:tcW w:w="2130" w:type="dxa"/>
            <w:shd w:val="clear" w:color="auto" w:fill="C9C9C9" w:themeFill="accent3" w:themeFillTint="99"/>
            <w:vAlign w:val="center"/>
          </w:tcPr>
          <w:p w14:paraId="1286EC4D" w14:textId="77777777" w:rsidR="00801F4F" w:rsidRPr="006E5276" w:rsidRDefault="00801F4F" w:rsidP="00FA0EEC">
            <w:pPr>
              <w:jc w:val="center"/>
              <w:rPr>
                <w:sz w:val="16"/>
                <w:szCs w:val="16"/>
              </w:rPr>
            </w:pPr>
            <w:r w:rsidRPr="006E5276">
              <w:rPr>
                <w:sz w:val="16"/>
                <w:szCs w:val="16"/>
              </w:rPr>
              <w:t xml:space="preserve">1. € 34.320,00 </w:t>
            </w:r>
          </w:p>
          <w:p w14:paraId="5D23F28E" w14:textId="77777777" w:rsidR="00801F4F" w:rsidRPr="006E5276" w:rsidRDefault="00801F4F" w:rsidP="00FA0EEC">
            <w:pPr>
              <w:jc w:val="center"/>
              <w:rPr>
                <w:sz w:val="16"/>
                <w:szCs w:val="16"/>
              </w:rPr>
            </w:pPr>
            <w:r w:rsidRPr="006E5276">
              <w:rPr>
                <w:sz w:val="16"/>
                <w:szCs w:val="16"/>
              </w:rPr>
              <w:t xml:space="preserve">2. € 18.000,00 </w:t>
            </w:r>
          </w:p>
        </w:tc>
        <w:tc>
          <w:tcPr>
            <w:tcW w:w="1901" w:type="dxa"/>
            <w:shd w:val="clear" w:color="auto" w:fill="C9C9C9" w:themeFill="accent3" w:themeFillTint="99"/>
            <w:vAlign w:val="center"/>
          </w:tcPr>
          <w:p w14:paraId="471D0E59" w14:textId="77777777" w:rsidR="00801F4F" w:rsidRPr="006E5276" w:rsidRDefault="00801F4F" w:rsidP="00FA0EEC">
            <w:pPr>
              <w:jc w:val="center"/>
              <w:rPr>
                <w:sz w:val="16"/>
                <w:szCs w:val="16"/>
              </w:rPr>
            </w:pPr>
            <w:r w:rsidRPr="006E5276">
              <w:rPr>
                <w:sz w:val="16"/>
                <w:szCs w:val="16"/>
              </w:rPr>
              <w:t>€ 720,00/mq</w:t>
            </w:r>
          </w:p>
        </w:tc>
        <w:tc>
          <w:tcPr>
            <w:tcW w:w="1039" w:type="dxa"/>
            <w:shd w:val="clear" w:color="auto" w:fill="C9C9C9" w:themeFill="accent3" w:themeFillTint="99"/>
            <w:vAlign w:val="center"/>
          </w:tcPr>
          <w:p w14:paraId="40BC413A" w14:textId="77777777" w:rsidR="00801F4F" w:rsidRPr="006E5276" w:rsidRDefault="00801F4F" w:rsidP="00FA0EEC">
            <w:pPr>
              <w:jc w:val="center"/>
              <w:rPr>
                <w:sz w:val="16"/>
                <w:szCs w:val="16"/>
              </w:rPr>
            </w:pPr>
            <w:r w:rsidRPr="006E5276">
              <w:rPr>
                <w:sz w:val="16"/>
                <w:szCs w:val="16"/>
              </w:rPr>
              <w:t>+3%</w:t>
            </w:r>
          </w:p>
        </w:tc>
        <w:tc>
          <w:tcPr>
            <w:tcW w:w="1086" w:type="dxa"/>
            <w:shd w:val="clear" w:color="auto" w:fill="C9C9C9" w:themeFill="accent3" w:themeFillTint="99"/>
            <w:vAlign w:val="center"/>
          </w:tcPr>
          <w:p w14:paraId="111F2032" w14:textId="77777777" w:rsidR="00801F4F" w:rsidRPr="006E5276" w:rsidRDefault="00801F4F" w:rsidP="00FA0EEC">
            <w:pPr>
              <w:jc w:val="center"/>
              <w:rPr>
                <w:sz w:val="16"/>
                <w:szCs w:val="16"/>
              </w:rPr>
            </w:pPr>
            <w:r w:rsidRPr="006E5276">
              <w:rPr>
                <w:sz w:val="16"/>
                <w:szCs w:val="16"/>
              </w:rPr>
              <w:t>+3%</w:t>
            </w:r>
          </w:p>
        </w:tc>
      </w:tr>
      <w:tr w:rsidR="00801F4F" w:rsidRPr="006E5276" w14:paraId="0B8BF19B" w14:textId="77777777" w:rsidTr="00FA0EEC">
        <w:trPr>
          <w:trHeight w:val="227"/>
          <w:jc w:val="center"/>
        </w:trPr>
        <w:tc>
          <w:tcPr>
            <w:tcW w:w="1210" w:type="dxa"/>
            <w:vMerge/>
            <w:shd w:val="clear" w:color="auto" w:fill="C9C9C9" w:themeFill="accent3" w:themeFillTint="99"/>
          </w:tcPr>
          <w:p w14:paraId="3D444D14" w14:textId="77777777" w:rsidR="00801F4F" w:rsidRPr="006E5276" w:rsidRDefault="00801F4F" w:rsidP="00FA0EEC">
            <w:pPr>
              <w:jc w:val="center"/>
              <w:rPr>
                <w:sz w:val="16"/>
                <w:szCs w:val="16"/>
              </w:rPr>
            </w:pPr>
          </w:p>
        </w:tc>
        <w:tc>
          <w:tcPr>
            <w:tcW w:w="378" w:type="dxa"/>
            <w:shd w:val="clear" w:color="auto" w:fill="C9C9C9" w:themeFill="accent3" w:themeFillTint="99"/>
            <w:vAlign w:val="center"/>
          </w:tcPr>
          <w:p w14:paraId="004DC66C" w14:textId="77777777" w:rsidR="00801F4F" w:rsidRPr="006E5276" w:rsidRDefault="00801F4F" w:rsidP="00FA0EEC">
            <w:pPr>
              <w:jc w:val="center"/>
              <w:rPr>
                <w:sz w:val="16"/>
                <w:szCs w:val="16"/>
              </w:rPr>
            </w:pPr>
            <w:r w:rsidRPr="006E5276">
              <w:rPr>
                <w:sz w:val="16"/>
                <w:szCs w:val="16"/>
              </w:rPr>
              <w:t>2</w:t>
            </w:r>
          </w:p>
        </w:tc>
        <w:tc>
          <w:tcPr>
            <w:tcW w:w="2130" w:type="dxa"/>
            <w:shd w:val="clear" w:color="auto" w:fill="C9C9C9" w:themeFill="accent3" w:themeFillTint="99"/>
            <w:vAlign w:val="center"/>
          </w:tcPr>
          <w:p w14:paraId="42C1BBA8" w14:textId="77777777" w:rsidR="00801F4F" w:rsidRPr="006E5276" w:rsidRDefault="00801F4F" w:rsidP="00FA0EEC">
            <w:pPr>
              <w:jc w:val="center"/>
              <w:rPr>
                <w:sz w:val="16"/>
                <w:szCs w:val="16"/>
              </w:rPr>
            </w:pPr>
            <w:r w:rsidRPr="006E5276">
              <w:rPr>
                <w:sz w:val="16"/>
                <w:szCs w:val="16"/>
              </w:rPr>
              <w:t>€ 700,00</w:t>
            </w:r>
          </w:p>
        </w:tc>
        <w:tc>
          <w:tcPr>
            <w:tcW w:w="1901" w:type="dxa"/>
            <w:shd w:val="clear" w:color="auto" w:fill="C9C9C9" w:themeFill="accent3" w:themeFillTint="99"/>
          </w:tcPr>
          <w:p w14:paraId="1D48EC22" w14:textId="77777777" w:rsidR="00801F4F" w:rsidRPr="006E5276" w:rsidRDefault="00801F4F" w:rsidP="00FA0EEC">
            <w:pPr>
              <w:jc w:val="center"/>
              <w:rPr>
                <w:sz w:val="16"/>
                <w:szCs w:val="16"/>
              </w:rPr>
            </w:pPr>
            <w:r w:rsidRPr="006E5276">
              <w:rPr>
                <w:sz w:val="16"/>
                <w:szCs w:val="16"/>
              </w:rPr>
              <w:t>Da € 200,00 a € 500,00/giorno/uomo*</w:t>
            </w:r>
          </w:p>
        </w:tc>
        <w:tc>
          <w:tcPr>
            <w:tcW w:w="1039" w:type="dxa"/>
            <w:shd w:val="clear" w:color="auto" w:fill="C9C9C9" w:themeFill="accent3" w:themeFillTint="99"/>
            <w:vAlign w:val="center"/>
          </w:tcPr>
          <w:p w14:paraId="11979CE3" w14:textId="77777777" w:rsidR="00801F4F" w:rsidRPr="006E5276" w:rsidRDefault="00801F4F" w:rsidP="00FA0EEC">
            <w:pPr>
              <w:jc w:val="center"/>
              <w:rPr>
                <w:sz w:val="16"/>
                <w:szCs w:val="16"/>
              </w:rPr>
            </w:pPr>
          </w:p>
        </w:tc>
        <w:tc>
          <w:tcPr>
            <w:tcW w:w="1086" w:type="dxa"/>
            <w:shd w:val="clear" w:color="auto" w:fill="C9C9C9" w:themeFill="accent3" w:themeFillTint="99"/>
          </w:tcPr>
          <w:p w14:paraId="006A5D5A" w14:textId="77777777" w:rsidR="00801F4F" w:rsidRPr="006E5276" w:rsidRDefault="00801F4F" w:rsidP="00FA0EEC">
            <w:pPr>
              <w:jc w:val="center"/>
              <w:rPr>
                <w:sz w:val="16"/>
                <w:szCs w:val="16"/>
              </w:rPr>
            </w:pPr>
          </w:p>
        </w:tc>
      </w:tr>
      <w:tr w:rsidR="00801F4F" w:rsidRPr="006E5276" w14:paraId="31648F3A" w14:textId="77777777" w:rsidTr="00FA0EEC">
        <w:trPr>
          <w:trHeight w:val="227"/>
          <w:jc w:val="center"/>
        </w:trPr>
        <w:tc>
          <w:tcPr>
            <w:tcW w:w="1210" w:type="dxa"/>
            <w:shd w:val="clear" w:color="auto" w:fill="F7CAAC" w:themeFill="accent2" w:themeFillTint="66"/>
          </w:tcPr>
          <w:p w14:paraId="12C08BB9" w14:textId="77777777" w:rsidR="00801F4F" w:rsidRPr="006E5276" w:rsidRDefault="00801F4F" w:rsidP="00FA0EEC">
            <w:pPr>
              <w:jc w:val="center"/>
              <w:rPr>
                <w:sz w:val="16"/>
                <w:szCs w:val="16"/>
              </w:rPr>
            </w:pPr>
            <w:r w:rsidRPr="006E5276">
              <w:rPr>
                <w:sz w:val="16"/>
                <w:szCs w:val="16"/>
              </w:rPr>
              <w:t>B</w:t>
            </w:r>
          </w:p>
        </w:tc>
        <w:tc>
          <w:tcPr>
            <w:tcW w:w="378" w:type="dxa"/>
            <w:shd w:val="clear" w:color="auto" w:fill="F7CAAC" w:themeFill="accent2" w:themeFillTint="66"/>
            <w:vAlign w:val="center"/>
          </w:tcPr>
          <w:p w14:paraId="7FBCF0F6" w14:textId="77777777" w:rsidR="00801F4F" w:rsidRPr="006E5276" w:rsidRDefault="00801F4F" w:rsidP="00FA0EEC">
            <w:pPr>
              <w:jc w:val="center"/>
              <w:rPr>
                <w:sz w:val="16"/>
                <w:szCs w:val="16"/>
              </w:rPr>
            </w:pPr>
          </w:p>
        </w:tc>
        <w:tc>
          <w:tcPr>
            <w:tcW w:w="2130" w:type="dxa"/>
            <w:shd w:val="clear" w:color="auto" w:fill="F7CAAC" w:themeFill="accent2" w:themeFillTint="66"/>
            <w:vAlign w:val="center"/>
          </w:tcPr>
          <w:p w14:paraId="0E751122" w14:textId="77777777" w:rsidR="00801F4F" w:rsidRPr="006E5276" w:rsidRDefault="00801F4F" w:rsidP="00FA0EEC">
            <w:pPr>
              <w:jc w:val="center"/>
              <w:rPr>
                <w:sz w:val="16"/>
                <w:szCs w:val="16"/>
              </w:rPr>
            </w:pPr>
            <w:r w:rsidRPr="006E5276">
              <w:rPr>
                <w:sz w:val="16"/>
                <w:szCs w:val="16"/>
              </w:rPr>
              <w:t>€ 800,00</w:t>
            </w:r>
          </w:p>
        </w:tc>
        <w:tc>
          <w:tcPr>
            <w:tcW w:w="1901" w:type="dxa"/>
            <w:shd w:val="clear" w:color="auto" w:fill="F7CAAC" w:themeFill="accent2" w:themeFillTint="66"/>
          </w:tcPr>
          <w:p w14:paraId="3C1EF5AE" w14:textId="77777777" w:rsidR="00801F4F" w:rsidRPr="006E5276" w:rsidRDefault="00801F4F" w:rsidP="00FA0EEC">
            <w:pPr>
              <w:jc w:val="center"/>
              <w:rPr>
                <w:sz w:val="16"/>
                <w:szCs w:val="16"/>
              </w:rPr>
            </w:pPr>
            <w:r w:rsidRPr="006E5276">
              <w:rPr>
                <w:sz w:val="16"/>
                <w:szCs w:val="16"/>
              </w:rPr>
              <w:t>€ 390,00/giorno</w:t>
            </w:r>
          </w:p>
        </w:tc>
        <w:tc>
          <w:tcPr>
            <w:tcW w:w="1039" w:type="dxa"/>
            <w:shd w:val="clear" w:color="auto" w:fill="F7CAAC" w:themeFill="accent2" w:themeFillTint="66"/>
          </w:tcPr>
          <w:p w14:paraId="0AC3F41F" w14:textId="77777777" w:rsidR="00801F4F" w:rsidRPr="006E5276" w:rsidRDefault="00801F4F" w:rsidP="00FA0EEC">
            <w:pPr>
              <w:jc w:val="center"/>
              <w:rPr>
                <w:sz w:val="16"/>
                <w:szCs w:val="16"/>
              </w:rPr>
            </w:pPr>
          </w:p>
        </w:tc>
        <w:tc>
          <w:tcPr>
            <w:tcW w:w="1086" w:type="dxa"/>
            <w:shd w:val="clear" w:color="auto" w:fill="F7CAAC" w:themeFill="accent2" w:themeFillTint="66"/>
          </w:tcPr>
          <w:p w14:paraId="1A790FEC" w14:textId="77777777" w:rsidR="00801F4F" w:rsidRPr="006E5276" w:rsidRDefault="00801F4F" w:rsidP="00FA0EEC">
            <w:pPr>
              <w:jc w:val="center"/>
              <w:rPr>
                <w:sz w:val="16"/>
                <w:szCs w:val="16"/>
              </w:rPr>
            </w:pPr>
          </w:p>
        </w:tc>
      </w:tr>
      <w:tr w:rsidR="00801F4F" w:rsidRPr="006E5276" w14:paraId="46FBFB88" w14:textId="77777777" w:rsidTr="00FA0EEC">
        <w:trPr>
          <w:trHeight w:val="227"/>
          <w:jc w:val="center"/>
        </w:trPr>
        <w:tc>
          <w:tcPr>
            <w:tcW w:w="1210" w:type="dxa"/>
            <w:vMerge w:val="restart"/>
            <w:shd w:val="clear" w:color="auto" w:fill="BDD6EE" w:themeFill="accent5" w:themeFillTint="66"/>
            <w:vAlign w:val="center"/>
          </w:tcPr>
          <w:p w14:paraId="79D76A46" w14:textId="77777777" w:rsidR="00801F4F" w:rsidRPr="006E5276" w:rsidRDefault="00801F4F" w:rsidP="00FA0EEC">
            <w:pPr>
              <w:jc w:val="center"/>
              <w:rPr>
                <w:sz w:val="16"/>
                <w:szCs w:val="16"/>
              </w:rPr>
            </w:pPr>
            <w:r w:rsidRPr="006E5276">
              <w:rPr>
                <w:sz w:val="16"/>
                <w:szCs w:val="16"/>
              </w:rPr>
              <w:t>C</w:t>
            </w:r>
          </w:p>
        </w:tc>
        <w:tc>
          <w:tcPr>
            <w:tcW w:w="378" w:type="dxa"/>
            <w:shd w:val="clear" w:color="auto" w:fill="BDD6EE" w:themeFill="accent5" w:themeFillTint="66"/>
            <w:vAlign w:val="center"/>
          </w:tcPr>
          <w:p w14:paraId="58150733" w14:textId="77777777" w:rsidR="00801F4F" w:rsidRPr="006E5276" w:rsidRDefault="00801F4F" w:rsidP="00FA0EEC">
            <w:pPr>
              <w:jc w:val="center"/>
              <w:rPr>
                <w:sz w:val="16"/>
                <w:szCs w:val="16"/>
              </w:rPr>
            </w:pPr>
            <w:r w:rsidRPr="006E5276">
              <w:rPr>
                <w:sz w:val="16"/>
                <w:szCs w:val="16"/>
              </w:rPr>
              <w:t>1</w:t>
            </w:r>
          </w:p>
        </w:tc>
        <w:tc>
          <w:tcPr>
            <w:tcW w:w="2130" w:type="dxa"/>
            <w:shd w:val="clear" w:color="auto" w:fill="BDD6EE" w:themeFill="accent5" w:themeFillTint="66"/>
            <w:vAlign w:val="center"/>
          </w:tcPr>
          <w:p w14:paraId="39C20E76" w14:textId="77777777" w:rsidR="00801F4F" w:rsidRPr="006E5276" w:rsidRDefault="00801F4F" w:rsidP="00FA0EEC">
            <w:pPr>
              <w:jc w:val="center"/>
              <w:rPr>
                <w:sz w:val="16"/>
                <w:szCs w:val="16"/>
              </w:rPr>
            </w:pPr>
            <w:r w:rsidRPr="006E5276">
              <w:rPr>
                <w:sz w:val="16"/>
                <w:szCs w:val="16"/>
              </w:rPr>
              <w:t>€ 12.000,00</w:t>
            </w:r>
          </w:p>
        </w:tc>
        <w:tc>
          <w:tcPr>
            <w:tcW w:w="1901" w:type="dxa"/>
            <w:shd w:val="clear" w:color="auto" w:fill="BDD6EE" w:themeFill="accent5" w:themeFillTint="66"/>
          </w:tcPr>
          <w:p w14:paraId="64B1A406" w14:textId="77777777" w:rsidR="00801F4F" w:rsidRPr="006E5276" w:rsidRDefault="00801F4F" w:rsidP="00FA0EEC">
            <w:pPr>
              <w:jc w:val="center"/>
              <w:rPr>
                <w:sz w:val="16"/>
                <w:szCs w:val="16"/>
              </w:rPr>
            </w:pPr>
            <w:r w:rsidRPr="006E5276">
              <w:rPr>
                <w:sz w:val="16"/>
                <w:szCs w:val="16"/>
              </w:rPr>
              <w:t>€ 1.000,00/mese</w:t>
            </w:r>
          </w:p>
        </w:tc>
        <w:tc>
          <w:tcPr>
            <w:tcW w:w="1039" w:type="dxa"/>
            <w:shd w:val="clear" w:color="auto" w:fill="BDD6EE" w:themeFill="accent5" w:themeFillTint="66"/>
          </w:tcPr>
          <w:p w14:paraId="0DEE6E3F" w14:textId="77777777" w:rsidR="00801F4F" w:rsidRPr="006E5276" w:rsidRDefault="00801F4F" w:rsidP="00FA0EEC">
            <w:pPr>
              <w:jc w:val="center"/>
              <w:rPr>
                <w:sz w:val="16"/>
                <w:szCs w:val="16"/>
              </w:rPr>
            </w:pPr>
          </w:p>
        </w:tc>
        <w:tc>
          <w:tcPr>
            <w:tcW w:w="1086" w:type="dxa"/>
            <w:shd w:val="clear" w:color="auto" w:fill="BDD6EE" w:themeFill="accent5" w:themeFillTint="66"/>
          </w:tcPr>
          <w:p w14:paraId="0F08283A" w14:textId="77777777" w:rsidR="00801F4F" w:rsidRPr="006E5276" w:rsidRDefault="00801F4F" w:rsidP="00FA0EEC">
            <w:pPr>
              <w:jc w:val="center"/>
              <w:rPr>
                <w:sz w:val="16"/>
                <w:szCs w:val="16"/>
              </w:rPr>
            </w:pPr>
          </w:p>
        </w:tc>
      </w:tr>
      <w:tr w:rsidR="00801F4F" w:rsidRPr="006E5276" w14:paraId="40D8E196" w14:textId="77777777" w:rsidTr="00FA0EEC">
        <w:trPr>
          <w:trHeight w:val="227"/>
          <w:jc w:val="center"/>
        </w:trPr>
        <w:tc>
          <w:tcPr>
            <w:tcW w:w="1210" w:type="dxa"/>
            <w:vMerge/>
            <w:shd w:val="clear" w:color="auto" w:fill="BDD6EE" w:themeFill="accent5" w:themeFillTint="66"/>
          </w:tcPr>
          <w:p w14:paraId="4BED6EAA" w14:textId="77777777" w:rsidR="00801F4F" w:rsidRPr="006E5276" w:rsidRDefault="00801F4F" w:rsidP="00FA0EEC">
            <w:pPr>
              <w:jc w:val="center"/>
              <w:rPr>
                <w:sz w:val="16"/>
                <w:szCs w:val="16"/>
              </w:rPr>
            </w:pPr>
          </w:p>
        </w:tc>
        <w:tc>
          <w:tcPr>
            <w:tcW w:w="378" w:type="dxa"/>
            <w:shd w:val="clear" w:color="auto" w:fill="BDD6EE" w:themeFill="accent5" w:themeFillTint="66"/>
            <w:vAlign w:val="center"/>
          </w:tcPr>
          <w:p w14:paraId="6EBB5CED" w14:textId="77777777" w:rsidR="00801F4F" w:rsidRPr="006E5276" w:rsidRDefault="00801F4F" w:rsidP="00FA0EEC">
            <w:pPr>
              <w:jc w:val="center"/>
              <w:rPr>
                <w:sz w:val="16"/>
                <w:szCs w:val="16"/>
              </w:rPr>
            </w:pPr>
            <w:r w:rsidRPr="006E5276">
              <w:rPr>
                <w:sz w:val="16"/>
                <w:szCs w:val="16"/>
              </w:rPr>
              <w:t>2</w:t>
            </w:r>
          </w:p>
        </w:tc>
        <w:tc>
          <w:tcPr>
            <w:tcW w:w="2130" w:type="dxa"/>
            <w:shd w:val="clear" w:color="auto" w:fill="BDD6EE" w:themeFill="accent5" w:themeFillTint="66"/>
            <w:vAlign w:val="center"/>
          </w:tcPr>
          <w:p w14:paraId="24E8E2E4" w14:textId="77777777" w:rsidR="00801F4F" w:rsidRPr="006E5276" w:rsidRDefault="00801F4F" w:rsidP="00FA0EEC">
            <w:pPr>
              <w:jc w:val="center"/>
              <w:rPr>
                <w:sz w:val="16"/>
                <w:szCs w:val="16"/>
              </w:rPr>
            </w:pPr>
            <w:r w:rsidRPr="006E5276">
              <w:rPr>
                <w:sz w:val="16"/>
                <w:szCs w:val="16"/>
              </w:rPr>
              <w:t>€ 3.300,00</w:t>
            </w:r>
          </w:p>
        </w:tc>
        <w:tc>
          <w:tcPr>
            <w:tcW w:w="1901" w:type="dxa"/>
            <w:shd w:val="clear" w:color="auto" w:fill="BDD6EE" w:themeFill="accent5" w:themeFillTint="66"/>
          </w:tcPr>
          <w:p w14:paraId="155502CC" w14:textId="77777777" w:rsidR="00801F4F" w:rsidRPr="006E5276" w:rsidRDefault="00801F4F" w:rsidP="00FA0EEC">
            <w:pPr>
              <w:jc w:val="center"/>
              <w:rPr>
                <w:sz w:val="16"/>
                <w:szCs w:val="16"/>
              </w:rPr>
            </w:pPr>
            <w:r w:rsidRPr="006E5276">
              <w:rPr>
                <w:sz w:val="16"/>
                <w:szCs w:val="16"/>
              </w:rPr>
              <w:t>€ 300,00/mese</w:t>
            </w:r>
          </w:p>
        </w:tc>
        <w:tc>
          <w:tcPr>
            <w:tcW w:w="1039" w:type="dxa"/>
            <w:shd w:val="clear" w:color="auto" w:fill="BDD6EE" w:themeFill="accent5" w:themeFillTint="66"/>
          </w:tcPr>
          <w:p w14:paraId="795907E6" w14:textId="77777777" w:rsidR="00801F4F" w:rsidRPr="006E5276" w:rsidRDefault="00801F4F" w:rsidP="00FA0EEC">
            <w:pPr>
              <w:jc w:val="center"/>
              <w:rPr>
                <w:sz w:val="16"/>
                <w:szCs w:val="16"/>
              </w:rPr>
            </w:pPr>
          </w:p>
        </w:tc>
        <w:tc>
          <w:tcPr>
            <w:tcW w:w="1086" w:type="dxa"/>
            <w:shd w:val="clear" w:color="auto" w:fill="BDD6EE" w:themeFill="accent5" w:themeFillTint="66"/>
          </w:tcPr>
          <w:p w14:paraId="679100CF" w14:textId="77777777" w:rsidR="00801F4F" w:rsidRPr="006E5276" w:rsidRDefault="00801F4F" w:rsidP="00FA0EEC">
            <w:pPr>
              <w:jc w:val="center"/>
              <w:rPr>
                <w:sz w:val="16"/>
                <w:szCs w:val="16"/>
              </w:rPr>
            </w:pPr>
          </w:p>
        </w:tc>
      </w:tr>
      <w:tr w:rsidR="00801F4F" w:rsidRPr="006E5276" w14:paraId="2FA3869D" w14:textId="77777777" w:rsidTr="00FA0EEC">
        <w:trPr>
          <w:trHeight w:val="227"/>
          <w:jc w:val="center"/>
        </w:trPr>
        <w:tc>
          <w:tcPr>
            <w:tcW w:w="1210" w:type="dxa"/>
            <w:vMerge w:val="restart"/>
            <w:shd w:val="clear" w:color="auto" w:fill="FFFF66"/>
            <w:vAlign w:val="center"/>
          </w:tcPr>
          <w:p w14:paraId="5B530FE8" w14:textId="77777777" w:rsidR="00801F4F" w:rsidRPr="006E5276" w:rsidRDefault="00801F4F" w:rsidP="00FA0EEC">
            <w:pPr>
              <w:jc w:val="center"/>
              <w:rPr>
                <w:sz w:val="16"/>
                <w:szCs w:val="16"/>
              </w:rPr>
            </w:pPr>
            <w:r w:rsidRPr="006E5276">
              <w:rPr>
                <w:sz w:val="16"/>
                <w:szCs w:val="16"/>
              </w:rPr>
              <w:t>D</w:t>
            </w:r>
          </w:p>
        </w:tc>
        <w:tc>
          <w:tcPr>
            <w:tcW w:w="378" w:type="dxa"/>
            <w:shd w:val="clear" w:color="auto" w:fill="FFFF66"/>
            <w:vAlign w:val="center"/>
          </w:tcPr>
          <w:p w14:paraId="1C961E03" w14:textId="77777777" w:rsidR="00801F4F" w:rsidRPr="006E5276" w:rsidRDefault="00801F4F" w:rsidP="00FA0EEC">
            <w:pPr>
              <w:jc w:val="center"/>
              <w:rPr>
                <w:sz w:val="16"/>
                <w:szCs w:val="16"/>
              </w:rPr>
            </w:pPr>
            <w:r w:rsidRPr="006E5276">
              <w:rPr>
                <w:sz w:val="16"/>
                <w:szCs w:val="16"/>
              </w:rPr>
              <w:t>1</w:t>
            </w:r>
          </w:p>
        </w:tc>
        <w:tc>
          <w:tcPr>
            <w:tcW w:w="2130" w:type="dxa"/>
            <w:shd w:val="clear" w:color="auto" w:fill="FFFF66"/>
            <w:vAlign w:val="center"/>
          </w:tcPr>
          <w:p w14:paraId="460A0DB1" w14:textId="77777777" w:rsidR="00801F4F" w:rsidRPr="006E5276" w:rsidRDefault="00801F4F" w:rsidP="00FA0EEC">
            <w:pPr>
              <w:jc w:val="center"/>
              <w:rPr>
                <w:sz w:val="16"/>
                <w:szCs w:val="16"/>
              </w:rPr>
            </w:pPr>
            <w:r w:rsidRPr="006E5276">
              <w:rPr>
                <w:sz w:val="16"/>
                <w:szCs w:val="16"/>
              </w:rPr>
              <w:t>€ 7.100,00</w:t>
            </w:r>
          </w:p>
        </w:tc>
        <w:tc>
          <w:tcPr>
            <w:tcW w:w="1901" w:type="dxa"/>
            <w:shd w:val="clear" w:color="auto" w:fill="FFFF66"/>
            <w:vAlign w:val="center"/>
          </w:tcPr>
          <w:p w14:paraId="0ABC0669" w14:textId="77777777" w:rsidR="00801F4F" w:rsidRPr="006E5276" w:rsidRDefault="00801F4F" w:rsidP="00FA0EEC">
            <w:pPr>
              <w:jc w:val="center"/>
              <w:rPr>
                <w:sz w:val="16"/>
                <w:szCs w:val="16"/>
              </w:rPr>
            </w:pPr>
            <w:r w:rsidRPr="006E5276">
              <w:rPr>
                <w:sz w:val="16"/>
                <w:szCs w:val="16"/>
              </w:rPr>
              <w:t>€ 7.000,00/brevetto</w:t>
            </w:r>
          </w:p>
        </w:tc>
        <w:tc>
          <w:tcPr>
            <w:tcW w:w="1039" w:type="dxa"/>
            <w:shd w:val="clear" w:color="auto" w:fill="FFFF66"/>
          </w:tcPr>
          <w:p w14:paraId="6A4EAC14" w14:textId="77777777" w:rsidR="00801F4F" w:rsidRPr="006E5276" w:rsidRDefault="00801F4F" w:rsidP="00FA0EEC">
            <w:pPr>
              <w:jc w:val="center"/>
              <w:rPr>
                <w:sz w:val="16"/>
                <w:szCs w:val="16"/>
              </w:rPr>
            </w:pPr>
          </w:p>
        </w:tc>
        <w:tc>
          <w:tcPr>
            <w:tcW w:w="1086" w:type="dxa"/>
            <w:shd w:val="clear" w:color="auto" w:fill="FFFF66"/>
          </w:tcPr>
          <w:p w14:paraId="672C7579" w14:textId="77777777" w:rsidR="00801F4F" w:rsidRPr="006E5276" w:rsidRDefault="00801F4F" w:rsidP="00FA0EEC">
            <w:pPr>
              <w:jc w:val="center"/>
              <w:rPr>
                <w:sz w:val="16"/>
                <w:szCs w:val="16"/>
              </w:rPr>
            </w:pPr>
          </w:p>
        </w:tc>
      </w:tr>
      <w:tr w:rsidR="00801F4F" w:rsidRPr="006E5276" w14:paraId="342E2B45" w14:textId="77777777" w:rsidTr="00FA0EEC">
        <w:trPr>
          <w:trHeight w:val="227"/>
          <w:jc w:val="center"/>
        </w:trPr>
        <w:tc>
          <w:tcPr>
            <w:tcW w:w="1210" w:type="dxa"/>
            <w:vMerge/>
            <w:shd w:val="clear" w:color="auto" w:fill="FFFF66"/>
          </w:tcPr>
          <w:p w14:paraId="2F6FFED7" w14:textId="77777777" w:rsidR="00801F4F" w:rsidRPr="006E5276" w:rsidRDefault="00801F4F" w:rsidP="00FA0EEC">
            <w:pPr>
              <w:jc w:val="center"/>
              <w:rPr>
                <w:sz w:val="16"/>
                <w:szCs w:val="16"/>
              </w:rPr>
            </w:pPr>
          </w:p>
        </w:tc>
        <w:tc>
          <w:tcPr>
            <w:tcW w:w="378" w:type="dxa"/>
            <w:shd w:val="clear" w:color="auto" w:fill="FFFF66"/>
            <w:vAlign w:val="center"/>
          </w:tcPr>
          <w:p w14:paraId="769054B8" w14:textId="77777777" w:rsidR="00801F4F" w:rsidRPr="006E5276" w:rsidRDefault="00801F4F" w:rsidP="00FA0EEC">
            <w:pPr>
              <w:jc w:val="center"/>
              <w:rPr>
                <w:sz w:val="16"/>
                <w:szCs w:val="16"/>
              </w:rPr>
            </w:pPr>
            <w:r w:rsidRPr="006E5276">
              <w:rPr>
                <w:sz w:val="16"/>
                <w:szCs w:val="16"/>
              </w:rPr>
              <w:t>2</w:t>
            </w:r>
          </w:p>
        </w:tc>
        <w:tc>
          <w:tcPr>
            <w:tcW w:w="2130" w:type="dxa"/>
            <w:shd w:val="clear" w:color="auto" w:fill="FFFF66"/>
            <w:vAlign w:val="center"/>
          </w:tcPr>
          <w:p w14:paraId="1A0F1626" w14:textId="77777777" w:rsidR="00801F4F" w:rsidRPr="006E5276" w:rsidRDefault="00801F4F" w:rsidP="00FA0EEC">
            <w:pPr>
              <w:jc w:val="center"/>
              <w:rPr>
                <w:sz w:val="16"/>
                <w:szCs w:val="16"/>
              </w:rPr>
            </w:pPr>
            <w:r w:rsidRPr="006E5276">
              <w:rPr>
                <w:sz w:val="16"/>
                <w:szCs w:val="16"/>
              </w:rPr>
              <w:t>€ 9.000,00</w:t>
            </w:r>
          </w:p>
        </w:tc>
        <w:tc>
          <w:tcPr>
            <w:tcW w:w="1901" w:type="dxa"/>
            <w:shd w:val="clear" w:color="auto" w:fill="FFFF66"/>
            <w:vAlign w:val="center"/>
          </w:tcPr>
          <w:p w14:paraId="4FD17AA8" w14:textId="77777777" w:rsidR="00801F4F" w:rsidRPr="006E5276" w:rsidRDefault="00801F4F" w:rsidP="00FA0EEC">
            <w:pPr>
              <w:jc w:val="center"/>
              <w:rPr>
                <w:sz w:val="16"/>
                <w:szCs w:val="16"/>
              </w:rPr>
            </w:pPr>
            <w:r w:rsidRPr="006E5276">
              <w:rPr>
                <w:sz w:val="16"/>
                <w:szCs w:val="16"/>
              </w:rPr>
              <w:t>€ 9.000,00/brevetto</w:t>
            </w:r>
          </w:p>
        </w:tc>
        <w:tc>
          <w:tcPr>
            <w:tcW w:w="1039" w:type="dxa"/>
            <w:shd w:val="clear" w:color="auto" w:fill="FFFF66"/>
          </w:tcPr>
          <w:p w14:paraId="325B6A7B" w14:textId="77777777" w:rsidR="00801F4F" w:rsidRPr="006E5276" w:rsidRDefault="00801F4F" w:rsidP="00FA0EEC">
            <w:pPr>
              <w:jc w:val="center"/>
              <w:rPr>
                <w:sz w:val="16"/>
                <w:szCs w:val="16"/>
              </w:rPr>
            </w:pPr>
          </w:p>
        </w:tc>
        <w:tc>
          <w:tcPr>
            <w:tcW w:w="1086" w:type="dxa"/>
            <w:shd w:val="clear" w:color="auto" w:fill="FFFF66"/>
          </w:tcPr>
          <w:p w14:paraId="7810B64A" w14:textId="77777777" w:rsidR="00801F4F" w:rsidRPr="006E5276" w:rsidRDefault="00801F4F" w:rsidP="00FA0EEC">
            <w:pPr>
              <w:keepNext/>
              <w:jc w:val="center"/>
              <w:rPr>
                <w:sz w:val="16"/>
                <w:szCs w:val="16"/>
              </w:rPr>
            </w:pPr>
          </w:p>
        </w:tc>
      </w:tr>
    </w:tbl>
    <w:p w14:paraId="6A3ECF9A" w14:textId="77777777" w:rsidR="00801F4F" w:rsidRPr="0055655F" w:rsidRDefault="00801F4F" w:rsidP="00801F4F">
      <w:pPr>
        <w:pStyle w:val="Didascalia"/>
        <w:jc w:val="center"/>
      </w:pPr>
      <w:bookmarkStart w:id="43" w:name="_Toc149133925"/>
      <w:r>
        <w:t xml:space="preserve">Tabella </w:t>
      </w:r>
      <w:r w:rsidR="00C20E77">
        <w:rPr>
          <w:noProof/>
        </w:rPr>
        <w:fldChar w:fldCharType="begin"/>
      </w:r>
      <w:r w:rsidR="00C20E77">
        <w:rPr>
          <w:noProof/>
        </w:rPr>
        <w:instrText xml:space="preserve"> SEQ Tabella \* ARABIC </w:instrText>
      </w:r>
      <w:r w:rsidR="00C20E77">
        <w:rPr>
          <w:noProof/>
        </w:rPr>
        <w:fldChar w:fldCharType="separate"/>
      </w:r>
      <w:r w:rsidR="00010300">
        <w:rPr>
          <w:noProof/>
        </w:rPr>
        <w:t>3</w:t>
      </w:r>
      <w:r w:rsidR="00C20E77">
        <w:rPr>
          <w:noProof/>
        </w:rPr>
        <w:fldChar w:fldCharType="end"/>
      </w:r>
      <w:r>
        <w:t xml:space="preserve"> - Proposta di importi forfettari e di costi standard per i progetti di internazionalizzazione</w:t>
      </w:r>
      <w:bookmarkEnd w:id="43"/>
    </w:p>
    <w:p w14:paraId="36D8D7F2" w14:textId="77777777" w:rsidR="00B526F3" w:rsidRDefault="00B526F3">
      <w:pPr>
        <w:spacing w:after="160" w:line="259" w:lineRule="auto"/>
        <w:jc w:val="left"/>
      </w:pPr>
    </w:p>
    <w:p w14:paraId="30C3FE90" w14:textId="77777777" w:rsidR="00215BC5" w:rsidRDefault="00215BC5">
      <w:pPr>
        <w:spacing w:after="160" w:line="259" w:lineRule="auto"/>
        <w:jc w:val="left"/>
      </w:pPr>
      <w:r>
        <w:br w:type="page"/>
      </w:r>
    </w:p>
    <w:p w14:paraId="548E3BF9" w14:textId="77777777" w:rsidR="00BF7405" w:rsidRPr="00B526F3" w:rsidRDefault="00BF7405" w:rsidP="00BF7405">
      <w:pPr>
        <w:tabs>
          <w:tab w:val="left" w:pos="851"/>
        </w:tabs>
        <w:spacing w:before="60" w:after="60"/>
      </w:pPr>
    </w:p>
    <w:p w14:paraId="02130527" w14:textId="17C1D064" w:rsidR="007A0651" w:rsidRPr="00B526F3" w:rsidRDefault="007A0651" w:rsidP="007A0651">
      <w:pPr>
        <w:pStyle w:val="Titolo1"/>
      </w:pPr>
      <w:r w:rsidRPr="00B526F3">
        <w:fldChar w:fldCharType="begin"/>
      </w:r>
      <w:r w:rsidRPr="00B526F3">
        <w:instrText xml:space="preserve"> AUTONUMLGL   </w:instrText>
      </w:r>
      <w:bookmarkStart w:id="44" w:name="_Toc189753944"/>
      <w:r w:rsidRPr="00B526F3">
        <w:fldChar w:fldCharType="end"/>
      </w:r>
      <w:r w:rsidRPr="00B526F3">
        <w:tab/>
        <w:t>Aspetti concernenti il controllo e l’Audit</w:t>
      </w:r>
      <w:bookmarkEnd w:id="44"/>
    </w:p>
    <w:p w14:paraId="7D441B44" w14:textId="402D3A58" w:rsidR="007A0651" w:rsidRDefault="0096021C" w:rsidP="007A0651">
      <w:r>
        <w:t xml:space="preserve">Nel trattare gli aspetti connessi al controllo e l’audit di operazioni sostenute attraverso il ricorso a OSC è innanzitutto opportuno considerare che il fatto che attraverso </w:t>
      </w:r>
      <w:r w:rsidR="00784A6D">
        <w:t xml:space="preserve">di esse </w:t>
      </w:r>
      <w:r>
        <w:t xml:space="preserve">si </w:t>
      </w:r>
      <w:r w:rsidR="00784A6D">
        <w:t xml:space="preserve">possa </w:t>
      </w:r>
      <w:r>
        <w:t>verific</w:t>
      </w:r>
      <w:r w:rsidR="00784A6D">
        <w:t>are</w:t>
      </w:r>
      <w:r>
        <w:t xml:space="preserve"> una </w:t>
      </w:r>
      <w:r w:rsidRPr="0096021C">
        <w:rPr>
          <w:i/>
          <w:iCs/>
        </w:rPr>
        <w:t>sovracompensazione</w:t>
      </w:r>
      <w:r>
        <w:t xml:space="preserve"> o </w:t>
      </w:r>
      <w:r w:rsidRPr="0096021C">
        <w:rPr>
          <w:i/>
          <w:iCs/>
        </w:rPr>
        <w:t>sottocompensazione</w:t>
      </w:r>
      <w:r>
        <w:t xml:space="preserve"> dei costi realmente sostenuti è irrilevante: si tratta di una ovvia conseguenza dell’applicazione delle OSC che, fermo restando il rispetto delle norme applicabili, è ritenuta accettabile in considerazione dei benefici derivanti dal loro utilizzo sotto il profilo, in primo luogo, della riduzione del carico amministrativo.</w:t>
      </w:r>
    </w:p>
    <w:p w14:paraId="13966405" w14:textId="77777777" w:rsidR="0096021C" w:rsidRDefault="0096021C" w:rsidP="007A0651"/>
    <w:p w14:paraId="741A8CB9" w14:textId="42B5AFF0" w:rsidR="0096021C" w:rsidRDefault="0096021C" w:rsidP="007A0651">
      <w:r>
        <w:t>Posto che nel caso di applicazione di OSC non si verificano i documenti contabili relativi ai costi sostenuti, le attività di controllo afferiranno esclusivamente a:</w:t>
      </w:r>
    </w:p>
    <w:p w14:paraId="27E2AA13" w14:textId="4339DD4E" w:rsidR="007A0651" w:rsidRPr="00B526F3" w:rsidRDefault="007A0651" w:rsidP="00FD3472">
      <w:pPr>
        <w:pStyle w:val="Paragrafoelenco"/>
        <w:numPr>
          <w:ilvl w:val="0"/>
          <w:numId w:val="51"/>
        </w:numPr>
      </w:pPr>
      <w:r w:rsidRPr="00B526F3">
        <w:t xml:space="preserve">Verifica della </w:t>
      </w:r>
      <w:r w:rsidRPr="006823F7">
        <w:rPr>
          <w:b/>
          <w:bCs/>
        </w:rPr>
        <w:t>corretta definizione della metodologia</w:t>
      </w:r>
      <w:r w:rsidR="006823F7">
        <w:t>;</w:t>
      </w:r>
    </w:p>
    <w:p w14:paraId="6695B5D2" w14:textId="1DEBCCBC" w:rsidR="007A0651" w:rsidRDefault="007A0651" w:rsidP="00FD3472">
      <w:pPr>
        <w:pStyle w:val="Paragrafoelenco"/>
        <w:numPr>
          <w:ilvl w:val="0"/>
          <w:numId w:val="51"/>
        </w:numPr>
      </w:pPr>
      <w:r w:rsidRPr="00B526F3">
        <w:t xml:space="preserve">Verifica della </w:t>
      </w:r>
      <w:r w:rsidRPr="006823F7">
        <w:rPr>
          <w:b/>
          <w:bCs/>
        </w:rPr>
        <w:t>corretta applicazione della metodologia</w:t>
      </w:r>
      <w:r w:rsidR="006823F7">
        <w:t>.</w:t>
      </w:r>
    </w:p>
    <w:p w14:paraId="7BC082A0" w14:textId="77777777" w:rsidR="0082579D" w:rsidRDefault="0082579D" w:rsidP="007A0651"/>
    <w:p w14:paraId="1BEB6C75" w14:textId="03EBEA91" w:rsidR="0096021C" w:rsidRDefault="0096021C" w:rsidP="007A0651">
      <w:r>
        <w:t>Circa la verifica della corretta definizione della metodologia</w:t>
      </w:r>
      <w:r>
        <w:rPr>
          <w:rStyle w:val="Rimandonotaapidipagina"/>
        </w:rPr>
        <w:footnoteReference w:id="18"/>
      </w:r>
      <w:r>
        <w:t>, è opportuno che l’AdG</w:t>
      </w:r>
      <w:r w:rsidR="006823F7">
        <w:t xml:space="preserve"> proceda ad un preliminare e informale confronto con l’AdA e ciò per assicurare, ex ante, la correttezza dell’impostazione del metodo: un tale modo di procedere, ancorché non basato su alcuna disposizione regolamentare, consente preliminarmente di evitare errori e facilita in modo significativo le successive attività di controllo.</w:t>
      </w:r>
    </w:p>
    <w:p w14:paraId="6A806758" w14:textId="77777777" w:rsidR="006823F7" w:rsidRDefault="006823F7" w:rsidP="007A0651"/>
    <w:p w14:paraId="186DB15C" w14:textId="15548D3A" w:rsidR="006823F7" w:rsidRDefault="00FE0924" w:rsidP="007A0651">
      <w:r>
        <w:t>Le verifiche di gestione che l’AdG è chiamata a svolgere nel caso di OSC, rimandano alla necessità di assicurare che “</w:t>
      </w:r>
      <w:r w:rsidRPr="00FE0924">
        <w:t>siano state rispettate le condizioni per il rimborso della spesa al beneficiario</w:t>
      </w:r>
      <w:r>
        <w:t>” (cfr. Art. 74(1)(a)(ii) RDC).</w:t>
      </w:r>
    </w:p>
    <w:p w14:paraId="4ECA4149" w14:textId="176B5154" w:rsidR="00704006" w:rsidRDefault="003E65B3" w:rsidP="007A0651">
      <w:r>
        <w:t>Con riferimento a tali verifiche, pertanto, l’AdG è chiamata a verificare che le condizioni per la erogazione del sostegno del programma siano rispettate. Il che implica:</w:t>
      </w:r>
    </w:p>
    <w:p w14:paraId="4330A9F6" w14:textId="4EF4A781" w:rsidR="003E65B3" w:rsidRDefault="003E65B3" w:rsidP="00FD3472">
      <w:pPr>
        <w:pStyle w:val="Paragrafoelenco"/>
        <w:numPr>
          <w:ilvl w:val="0"/>
          <w:numId w:val="52"/>
        </w:numPr>
      </w:pPr>
      <w:r>
        <w:t>nel caso di utilizzo di applicazione costi unitari (UCS) o di importi forfettari (lump sum), che l’AdG verifiche che il Beneficiario abbia realizzato quanto convenuto e/o se del caso i risultati ottenuti attraverso l’implementazione dell’operazione;</w:t>
      </w:r>
    </w:p>
    <w:p w14:paraId="70419739" w14:textId="79236688" w:rsidR="003E65B3" w:rsidRDefault="003E65B3" w:rsidP="00FD3472">
      <w:pPr>
        <w:pStyle w:val="Paragrafoelenco"/>
        <w:numPr>
          <w:ilvl w:val="0"/>
          <w:numId w:val="52"/>
        </w:numPr>
      </w:pPr>
      <w:r>
        <w:t>nel caso di applicazione di tassi forfettari, le verifiche atterranno alla verifica dei costi in base ai quali il tasso forfettario viene applicato.</w:t>
      </w:r>
    </w:p>
    <w:p w14:paraId="51BD1F6D" w14:textId="0708A44F" w:rsidR="003E65B3" w:rsidRDefault="003E65B3" w:rsidP="003E65B3">
      <w:r>
        <w:t>Da quanto sopra emerge la necessità che il metodo ed il dispositivo che disciplina le condizioni per la concessione del sostegno del PR siano estremamente chiari circa la produzione degli elementi (di prova) su cui le verifiche in entrambi i casi di cui sopra saranno espletate: in sintesi, deve essere previamente definito il “meccanismo di verifica” per l’erogazione del rimborso.</w:t>
      </w:r>
    </w:p>
    <w:p w14:paraId="2DDD88AE" w14:textId="77777777" w:rsidR="003E65B3" w:rsidRDefault="003E65B3" w:rsidP="003E65B3"/>
    <w:p w14:paraId="4828C05A" w14:textId="7E05AEA2" w:rsidR="003E65B3" w:rsidRDefault="00414066" w:rsidP="003E65B3">
      <w:r>
        <w:t xml:space="preserve">Le attività di controllo sulla </w:t>
      </w:r>
      <w:r w:rsidRPr="00B41208">
        <w:rPr>
          <w:b/>
          <w:bCs/>
        </w:rPr>
        <w:t>corretta applicazione della metodologia</w:t>
      </w:r>
      <w:r>
        <w:t>, da parte dei competenti uffici per i controlli di primo livello e dell’AdA, dovrebbero concentrarsi sui seguenti elementi:</w:t>
      </w:r>
    </w:p>
    <w:p w14:paraId="733AF46C" w14:textId="77777777" w:rsidR="00414066" w:rsidRDefault="00414066" w:rsidP="003E65B3"/>
    <w:p w14:paraId="4654AEB9" w14:textId="744F135B" w:rsidR="00414066" w:rsidRDefault="00B41208" w:rsidP="00FD3472">
      <w:pPr>
        <w:pStyle w:val="Paragrafoelenco"/>
        <w:numPr>
          <w:ilvl w:val="0"/>
          <w:numId w:val="53"/>
        </w:numPr>
        <w:spacing w:before="120" w:after="120"/>
      </w:pPr>
      <w:r>
        <w:t>V</w:t>
      </w:r>
      <w:r w:rsidR="00414066">
        <w:t>erificare che le informazioni relative al metodo di calcolo siano opportunamente documentate, facilmente tracciabili e applicate in maniera coerente</w:t>
      </w:r>
    </w:p>
    <w:p w14:paraId="4E8DE8F0" w14:textId="49D73248" w:rsidR="00414066" w:rsidRDefault="00414066" w:rsidP="00414066">
      <w:r>
        <w:t xml:space="preserve">Le fonti da cui sono ricavate le informazioni necessarie alla definizione del metodo, dovrebbero essere verificabili ed avere un adeguato livello di attendibilità. Ovviamente, tali informazioni dovrebbero altresì essere sufficientemente aggiornate, così da avvicinare quanto più possibile alla realtà le conclusioni su quelle basate. </w:t>
      </w:r>
    </w:p>
    <w:p w14:paraId="39BFD3B0" w14:textId="48329CBD" w:rsidR="00414066" w:rsidRDefault="00B41208" w:rsidP="00FD3472">
      <w:pPr>
        <w:pStyle w:val="Paragrafoelenco"/>
        <w:numPr>
          <w:ilvl w:val="0"/>
          <w:numId w:val="53"/>
        </w:numPr>
        <w:spacing w:before="120" w:after="120"/>
      </w:pPr>
      <w:r>
        <w:t>V</w:t>
      </w:r>
      <w:r w:rsidR="00414066">
        <w:t>erificare che i costi compresi nei calcoli siano pertinenti e costituiscano costi ammissibili</w:t>
      </w:r>
    </w:p>
    <w:p w14:paraId="27D16DA4" w14:textId="51AA9A27" w:rsidR="00414066" w:rsidRDefault="005A5F30" w:rsidP="00414066">
      <w:r>
        <w:t>I costi presi in considerazione ai fini della determinazione delle OSC applicabili dovranno in primo luogo essere riconducibili alle finalità ed agli obiettivi del programma e, ancora, essere definite nel rispetto delle norme applicabili. Ad esempio, nel caso di un sostegno volto alla realizzazione di interventi di efficientamento energetico, i costi da prendere in considerazione dovrebbero essere solamente quelli funzionali al raggiungimento de</w:t>
      </w:r>
      <w:r w:rsidR="006F1AB1">
        <w:t>gli obiettivi</w:t>
      </w:r>
      <w:r>
        <w:t xml:space="preserve"> di risparmio energetico eventualmente </w:t>
      </w:r>
      <w:r w:rsidR="006F1AB1">
        <w:t>definiti, o, ancora, nel caso di aiuti di stato con costi ammissibili individuabili, i costi da prendere in considerazione dovranno essere coerenti con le disposizioni in merito definite dalla base giuridica presa in considerazione per la concessione dell’aiuto.</w:t>
      </w:r>
    </w:p>
    <w:p w14:paraId="0F28D0AC" w14:textId="077F8CED" w:rsidR="00414066" w:rsidRDefault="00B41208" w:rsidP="00FD3472">
      <w:pPr>
        <w:pStyle w:val="Paragrafoelenco"/>
        <w:numPr>
          <w:ilvl w:val="0"/>
          <w:numId w:val="53"/>
        </w:numPr>
        <w:spacing w:before="120" w:after="120"/>
      </w:pPr>
      <w:r>
        <w:t>V</w:t>
      </w:r>
      <w:r w:rsidR="00414066">
        <w:t>erificare l’affidabilità/l’accuratezza dei dati</w:t>
      </w:r>
    </w:p>
    <w:p w14:paraId="7B3A5F98" w14:textId="4B38A7E5" w:rsidR="00B41208" w:rsidRDefault="00B41208" w:rsidP="00B41208">
      <w:pPr>
        <w:spacing w:before="120" w:after="120"/>
      </w:pPr>
      <w:r>
        <w:t>Come in precedenza accennato, è essenziale che siano utilizzare fonti di dati verificabili e, in questo caso affidabili. Sotto questo profilo, dati e informazioni provenienti da enti riconosciuti (ISTAT, CERVED ad esempio), o da riconosciute Autorità di settore e/o enti privati che dispongono di esperienza in materia e riconosciuti quali organismi operanti nel settore o comunque affidabili in merito, o ancora dai sistemi informativi di cui dispone l’AdG, dovrebbero costituire i riferimenti per la elaborazione del metodo</w:t>
      </w:r>
    </w:p>
    <w:p w14:paraId="2BD9FFC5" w14:textId="6EADC2F9" w:rsidR="00414066" w:rsidRDefault="00B41208" w:rsidP="00FD3472">
      <w:pPr>
        <w:pStyle w:val="Paragrafoelenco"/>
        <w:numPr>
          <w:ilvl w:val="0"/>
          <w:numId w:val="53"/>
        </w:numPr>
        <w:spacing w:before="120" w:after="120"/>
      </w:pPr>
      <w:r>
        <w:t>V</w:t>
      </w:r>
      <w:r w:rsidR="00414066">
        <w:t>erificare l’esistenza di tutte le categorie di costi coperte dalle OSC</w:t>
      </w:r>
    </w:p>
    <w:p w14:paraId="5C235EB2" w14:textId="3CE2E5A0" w:rsidR="00B41208" w:rsidRDefault="00B41208" w:rsidP="00B41208">
      <w:pPr>
        <w:spacing w:before="120" w:after="120"/>
      </w:pPr>
      <w:r>
        <w:t>L’elaborazione del metodo dovrebbe riferirsi ai costi effettivamente riconoscibili quali necessari alla realizzazione dell’operazione in questione in relazione alle caratteristiche dei contenuti della stessa.</w:t>
      </w:r>
    </w:p>
    <w:p w14:paraId="2E46B2B0" w14:textId="04387D2C" w:rsidR="00414066" w:rsidRDefault="007D1E5F" w:rsidP="00FD3472">
      <w:pPr>
        <w:pStyle w:val="Paragrafoelenco"/>
        <w:numPr>
          <w:ilvl w:val="0"/>
          <w:numId w:val="53"/>
        </w:numPr>
        <w:spacing w:before="120" w:after="120"/>
      </w:pPr>
      <w:r>
        <w:t>V</w:t>
      </w:r>
      <w:r w:rsidR="00414066">
        <w:t>alutare la descrizione dettagliata delle varie fasi che hanno portato a definire l’opzione semplificata in materia di costi</w:t>
      </w:r>
    </w:p>
    <w:p w14:paraId="138D1F92" w14:textId="07DC452A" w:rsidR="007D1E5F" w:rsidRDefault="007D1E5F" w:rsidP="007D1E5F">
      <w:pPr>
        <w:spacing w:before="120" w:after="120"/>
      </w:pPr>
      <w:r>
        <w:t>In questo caso si fa riferimento alla necessità di prendere in considerazione la pertinenza del percorso logico che porta alla definizione del metodo. Non formano oggetto di valutazione i “motivi” che hanno condotto alla scelta di un metodo piuttosto che un’altra soluzione.</w:t>
      </w:r>
    </w:p>
    <w:p w14:paraId="0AC2D8A9" w14:textId="6847708E" w:rsidR="007D1E5F" w:rsidRDefault="007D1E5F" w:rsidP="007D1E5F">
      <w:pPr>
        <w:spacing w:before="120" w:after="120"/>
      </w:pPr>
      <w:r>
        <w:t xml:space="preserve">Per quanto alle </w:t>
      </w:r>
      <w:r w:rsidRPr="007D1E5F">
        <w:rPr>
          <w:b/>
          <w:bCs/>
        </w:rPr>
        <w:t>attività di controllo da condurre in relazione ai “tassi forfettari”</w:t>
      </w:r>
      <w:r>
        <w:t xml:space="preserve"> le attività di verifica si concentreranno sulla verifica dei costi cui è applicato il tasso forfettario (e, se del caso, anche ai costi ammissibili cui non è applicato alcun tasso forfettario). Non saranno quindi condotti controlli relativamente ai costi effettivamente sostenuti per quelle categorie di costo cui il tasso forfettario è applicato.</w:t>
      </w:r>
    </w:p>
    <w:p w14:paraId="53CD22CB" w14:textId="35848138" w:rsidR="00414066" w:rsidRDefault="00BF7405" w:rsidP="00414066">
      <w:r>
        <w:t>Alla figura d</w:t>
      </w:r>
      <w:r w:rsidR="00F07E17">
        <w:t xml:space="preserve">i seguito </w:t>
      </w:r>
      <w:r>
        <w:t xml:space="preserve">riportata, </w:t>
      </w:r>
      <w:r w:rsidR="00F07E17">
        <w:t xml:space="preserve">alcune indicazioni di sintesi in relazione ad ulteriori </w:t>
      </w:r>
      <w:r>
        <w:t xml:space="preserve">casi di </w:t>
      </w:r>
      <w:r w:rsidR="00F07E17">
        <w:t>attività di controllo</w:t>
      </w:r>
      <w:r>
        <w:t>.</w:t>
      </w:r>
    </w:p>
    <w:p w14:paraId="027C8C95" w14:textId="77777777" w:rsidR="00414066" w:rsidRDefault="00414066" w:rsidP="00414066"/>
    <w:p w14:paraId="58335101" w14:textId="285AADD3" w:rsidR="00BF7405" w:rsidRDefault="00BF7405" w:rsidP="00414066">
      <w:r w:rsidRPr="00BF7405">
        <w:rPr>
          <w:noProof/>
        </w:rPr>
        <w:drawing>
          <wp:inline distT="0" distB="0" distL="0" distR="0" wp14:anchorId="39CB2DC0" wp14:editId="45E7BD3D">
            <wp:extent cx="6120130" cy="3617595"/>
            <wp:effectExtent l="0" t="0" r="0" b="1905"/>
            <wp:docPr id="134492932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929326" name=""/>
                    <pic:cNvPicPr/>
                  </pic:nvPicPr>
                  <pic:blipFill>
                    <a:blip r:embed="rId18"/>
                    <a:stretch>
                      <a:fillRect/>
                    </a:stretch>
                  </pic:blipFill>
                  <pic:spPr>
                    <a:xfrm>
                      <a:off x="0" y="0"/>
                      <a:ext cx="6120130" cy="3617595"/>
                    </a:xfrm>
                    <a:prstGeom prst="rect">
                      <a:avLst/>
                    </a:prstGeom>
                  </pic:spPr>
                </pic:pic>
              </a:graphicData>
            </a:graphic>
          </wp:inline>
        </w:drawing>
      </w:r>
    </w:p>
    <w:p w14:paraId="72380F47" w14:textId="77777777" w:rsidR="00BF7405" w:rsidRDefault="00BF7405" w:rsidP="00414066"/>
    <w:sectPr w:rsidR="00BF7405" w:rsidSect="00855402">
      <w:pgSz w:w="11906" w:h="16838"/>
      <w:pgMar w:top="2268" w:right="1134" w:bottom="1701"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E352D62" w16cex:dateUtc="2025-01-10T09:27:00Z"/>
  <w16cex:commentExtensible w16cex:durableId="0562395D" w16cex:dateUtc="2024-04-15T13:56:00Z"/>
  <w16cex:commentExtensible w16cex:durableId="3C2C11E0" w16cex:dateUtc="2025-01-10T09:35:00Z"/>
  <w16cex:commentExtensible w16cex:durableId="3CBDEDD5" w16cex:dateUtc="2024-04-15T13:58:00Z"/>
  <w16cex:commentExtensible w16cex:durableId="52897DC4" w16cex:dateUtc="2025-01-10T10:08:00Z"/>
  <w16cex:commentExtensible w16cex:durableId="2D0292BD" w16cex:dateUtc="2025-01-10T10:15:00Z"/>
  <w16cex:commentExtensible w16cex:durableId="7D7A338F" w16cex:dateUtc="2024-04-13T21:17:00Z"/>
  <w16cex:commentExtensible w16cex:durableId="1EE925B4" w16cex:dateUtc="2025-01-10T10:18:00Z"/>
  <w16cex:commentExtensible w16cex:durableId="7796D8AC" w16cex:dateUtc="2024-04-13T21:18:00Z"/>
  <w16cex:commentExtensible w16cex:durableId="498F44B4" w16cex:dateUtc="2025-01-10T10:22:00Z"/>
  <w16cex:commentExtensible w16cex:durableId="3814CACB" w16cex:dateUtc="2025-01-10T10:34:00Z"/>
  <w16cex:commentExtensible w16cex:durableId="7390F56E" w16cex:dateUtc="2025-01-13T1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38A7C9" w16cid:durableId="2E352D62"/>
  <w16cid:commentId w16cid:paraId="79477ABA" w16cid:durableId="0562395D"/>
  <w16cid:commentId w16cid:paraId="66B5A3DE" w16cid:durableId="3C2C11E0"/>
  <w16cid:commentId w16cid:paraId="62EBB773" w16cid:durableId="3CBDEDD5"/>
  <w16cid:commentId w16cid:paraId="357CD4E6" w16cid:durableId="52897DC4"/>
  <w16cid:commentId w16cid:paraId="43F81C2E" w16cid:durableId="2D0292BD"/>
  <w16cid:commentId w16cid:paraId="72280073" w16cid:durableId="7D7A338F"/>
  <w16cid:commentId w16cid:paraId="1F48F5DA" w16cid:durableId="1EE925B4"/>
  <w16cid:commentId w16cid:paraId="78BDC8B7" w16cid:durableId="7796D8AC"/>
  <w16cid:commentId w16cid:paraId="057C01CD" w16cid:durableId="498F44B4"/>
  <w16cid:commentId w16cid:paraId="030DBEA6" w16cid:durableId="3814CACB"/>
  <w16cid:commentId w16cid:paraId="136A0583" w16cid:durableId="7390F5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418273" w14:textId="77777777" w:rsidR="00C30D7B" w:rsidRDefault="00C30D7B" w:rsidP="00772EC2">
      <w:r>
        <w:separator/>
      </w:r>
    </w:p>
  </w:endnote>
  <w:endnote w:type="continuationSeparator" w:id="0">
    <w:p w14:paraId="299BE66F" w14:textId="77777777" w:rsidR="00C30D7B" w:rsidRDefault="00C30D7B" w:rsidP="00772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itillium Web">
    <w:altName w:val="Times New Roman"/>
    <w:charset w:val="00"/>
    <w:family w:val="auto"/>
    <w:pitch w:val="variable"/>
    <w:sig w:usb0="00000007" w:usb1="00000001"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aleway Thin">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8922903"/>
      <w:docPartObj>
        <w:docPartGallery w:val="Page Numbers (Bottom of Page)"/>
        <w:docPartUnique/>
      </w:docPartObj>
    </w:sdtPr>
    <w:sdtEndPr/>
    <w:sdtContent>
      <w:p w14:paraId="369A32E6" w14:textId="14E6FAAD" w:rsidR="008F5918" w:rsidRDefault="008F5918">
        <w:pPr>
          <w:pStyle w:val="Pidipagina"/>
          <w:jc w:val="right"/>
        </w:pPr>
        <w:r>
          <w:fldChar w:fldCharType="begin"/>
        </w:r>
        <w:r>
          <w:instrText>PAGE   \* MERGEFORMAT</w:instrText>
        </w:r>
        <w:r>
          <w:fldChar w:fldCharType="separate"/>
        </w:r>
        <w:r w:rsidR="00A801C9">
          <w:rPr>
            <w:noProof/>
          </w:rPr>
          <w:t>20</w:t>
        </w:r>
        <w:r>
          <w:fldChar w:fldCharType="end"/>
        </w:r>
      </w:p>
    </w:sdtContent>
  </w:sdt>
  <w:p w14:paraId="2D9C09E2" w14:textId="77777777" w:rsidR="008F5918" w:rsidRDefault="008F591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8729E" w14:textId="77777777" w:rsidR="00C30D7B" w:rsidRDefault="00C30D7B" w:rsidP="00772EC2">
      <w:r>
        <w:separator/>
      </w:r>
    </w:p>
  </w:footnote>
  <w:footnote w:type="continuationSeparator" w:id="0">
    <w:p w14:paraId="0351C663" w14:textId="77777777" w:rsidR="00C30D7B" w:rsidRDefault="00C30D7B" w:rsidP="00772EC2">
      <w:r>
        <w:continuationSeparator/>
      </w:r>
    </w:p>
  </w:footnote>
  <w:footnote w:id="1">
    <w:p w14:paraId="28C4965C" w14:textId="20DC8656" w:rsidR="0096095C" w:rsidRDefault="0096095C">
      <w:pPr>
        <w:pStyle w:val="Testonotaapidipagina"/>
      </w:pPr>
      <w:r>
        <w:rPr>
          <w:rStyle w:val="Rimandonotaapidipagina"/>
        </w:rPr>
        <w:footnoteRef/>
      </w:r>
      <w:r>
        <w:t xml:space="preserve"> </w:t>
      </w:r>
      <w:r>
        <w:tab/>
        <w:t>GUCE, Serie C del 20/12/2024.</w:t>
      </w:r>
    </w:p>
  </w:footnote>
  <w:footnote w:id="2">
    <w:p w14:paraId="664A20CF" w14:textId="5A3E943C" w:rsidR="008F5918" w:rsidRDefault="008F5918" w:rsidP="00B05E60">
      <w:pPr>
        <w:pStyle w:val="Testonotaapidipagina"/>
      </w:pPr>
      <w:r>
        <w:rPr>
          <w:rStyle w:val="Rimandonotaapidipagina"/>
        </w:rPr>
        <w:footnoteRef/>
      </w:r>
      <w:r>
        <w:t xml:space="preserve"> </w:t>
      </w:r>
      <w:r w:rsidR="0096095C">
        <w:tab/>
      </w:r>
      <w:r>
        <w:t xml:space="preserve">Cfr. </w:t>
      </w:r>
      <w:r w:rsidR="0096095C">
        <w:t xml:space="preserve"> par. 3.1 della Comunicazione.</w:t>
      </w:r>
    </w:p>
  </w:footnote>
  <w:footnote w:id="3">
    <w:p w14:paraId="32D08448" w14:textId="23520372" w:rsidR="008F5918" w:rsidRDefault="008F5918">
      <w:pPr>
        <w:pStyle w:val="Testonotaapidipagina"/>
      </w:pPr>
      <w:r>
        <w:rPr>
          <w:rStyle w:val="Rimandonotaapidipagina"/>
        </w:rPr>
        <w:footnoteRef/>
      </w:r>
      <w:r>
        <w:t xml:space="preserve"> </w:t>
      </w:r>
      <w:r>
        <w:tab/>
        <w:t xml:space="preserve">Per “costi indiretti” si intendono, di norma, </w:t>
      </w:r>
      <w:r w:rsidRPr="001A2EC7">
        <w:t>costi che non sono o non possono essere collegati direttamente all’esecuzione dell’operazione in questione. Tali costi potrebbero comprendere spese amministrative per le quali è difficile determinare con esattezza l’importo attribuibile a un’operazione specifica o a un progetto specifico (si tratta solita­ mente di spese amministrative/per il personale quali: costi di gestione, spese di assunzione, costi per il contabile o gli addetti alle pulizie ecc.; bollette telefoniche, dell’acqua o dell’elettricità ecc.</w:t>
      </w:r>
      <w:r>
        <w:t>.</w:t>
      </w:r>
    </w:p>
  </w:footnote>
  <w:footnote w:id="4">
    <w:p w14:paraId="66A3696A" w14:textId="2878A293" w:rsidR="008F5918" w:rsidRDefault="008F5918" w:rsidP="009C6CA4">
      <w:pPr>
        <w:pStyle w:val="Testonotaapidipagina"/>
      </w:pPr>
      <w:r>
        <w:rPr>
          <w:rStyle w:val="Rimandonotaapidipagina"/>
        </w:rPr>
        <w:footnoteRef/>
      </w:r>
      <w:r>
        <w:t xml:space="preserve"> </w:t>
      </w:r>
      <w:r>
        <w:tab/>
        <w:t xml:space="preserve">I </w:t>
      </w:r>
      <w:r w:rsidRPr="009C6CA4">
        <w:rPr>
          <w:b/>
          <w:bCs/>
        </w:rPr>
        <w:t>costi del personale</w:t>
      </w:r>
      <w:r>
        <w:t xml:space="preserve"> dovrebbero senz’altro comprendere </w:t>
      </w:r>
      <w:r w:rsidRPr="00D14FB3">
        <w:t>i costi derivanti da un accordo tra il datore di lavoro e il lavoratore o da contratti di prestazione di servizi per il personale esterno.</w:t>
      </w:r>
      <w:r>
        <w:t xml:space="preserve"> </w:t>
      </w:r>
      <w:r w:rsidRPr="00D14FB3">
        <w:t>Comprendono, di norma, le retribuzioni totali, incluse le retribuzioni in natura, in linea con i contratti collettivi, versate al personale a compenso del lavoro prestato in relazione all’operazione. Tali costi comprendono anche le tasse e i contributi previdenziali a carico dei lavoratori, nonché gli oneri sociali volontari e obbligatori a carico del datore di lavoro.</w:t>
      </w:r>
      <w:r>
        <w:t xml:space="preserve"> Possono essere </w:t>
      </w:r>
      <w:r w:rsidRPr="009C6CA4">
        <w:rPr>
          <w:b/>
          <w:bCs/>
        </w:rPr>
        <w:t>diretti</w:t>
      </w:r>
      <w:r>
        <w:t xml:space="preserve">, </w:t>
      </w:r>
      <w:r w:rsidRPr="009C6CA4">
        <w:t>diretti, ad esempio il costo di personale specializzato coinvolto in un progetto di RS&amp;I</w:t>
      </w:r>
      <w:r>
        <w:t xml:space="preserve">, oppure </w:t>
      </w:r>
      <w:r w:rsidRPr="009C6CA4">
        <w:rPr>
          <w:b/>
          <w:bCs/>
        </w:rPr>
        <w:t>indiretti</w:t>
      </w:r>
      <w:r w:rsidRPr="009C6CA4">
        <w:t>, il personale amministrativo parzialmente impiegato per le attività relative al medesimo progetto</w:t>
      </w:r>
      <w:r>
        <w:t>.</w:t>
      </w:r>
    </w:p>
  </w:footnote>
  <w:footnote w:id="5">
    <w:p w14:paraId="01C54C3B" w14:textId="2F1617D4" w:rsidR="008F5918" w:rsidRDefault="008F5918" w:rsidP="00D174DE">
      <w:pPr>
        <w:pStyle w:val="Testonotaapidipagina"/>
      </w:pPr>
      <w:r>
        <w:rPr>
          <w:rStyle w:val="Rimandonotaapidipagina"/>
        </w:rPr>
        <w:footnoteRef/>
      </w:r>
      <w:r>
        <w:t xml:space="preserve"> </w:t>
      </w:r>
      <w:r>
        <w:tab/>
        <w:t>Per quanto al caso di tempo parziale, il par. 5 dell’Art. 55 RDC prevede che “</w:t>
      </w:r>
      <w:r w:rsidRPr="00674E5D">
        <w:rPr>
          <w:i/>
          <w:iCs/>
        </w:rPr>
        <w:t>[...] i costi per il personale possono essere calcolati come percentuale fissa dei costi del lavoro lordi per il personale, corrispondente a una percentuale fissa del tempo di lavoro dedicato all</w:t>
      </w:r>
      <w:r w:rsidRPr="00674E5D">
        <w:rPr>
          <w:rFonts w:cs="Titillium Web"/>
          <w:i/>
          <w:iCs/>
        </w:rPr>
        <w:t>’</w:t>
      </w:r>
      <w:r w:rsidRPr="00674E5D">
        <w:rPr>
          <w:i/>
          <w:iCs/>
        </w:rPr>
        <w:t>operazione mensilmente, senza l</w:t>
      </w:r>
      <w:r w:rsidRPr="00674E5D">
        <w:rPr>
          <w:rFonts w:cs="Titillium Web"/>
          <w:i/>
          <w:iCs/>
        </w:rPr>
        <w:t>’</w:t>
      </w:r>
      <w:r w:rsidRPr="00674E5D">
        <w:rPr>
          <w:i/>
          <w:iCs/>
        </w:rPr>
        <w:t>obbligo di istituire un sistema separato di registrazione delle ore lavorate. Il datore di lavoro rilascia ai dipendenti un documento che stabilisce tale percentuale fissa</w:t>
      </w:r>
      <w:r>
        <w:t>”.</w:t>
      </w:r>
    </w:p>
  </w:footnote>
  <w:footnote w:id="6">
    <w:p w14:paraId="2740E35D" w14:textId="77777777" w:rsidR="00AC1336" w:rsidRDefault="00AC1336" w:rsidP="00AC1336">
      <w:pPr>
        <w:pStyle w:val="Testonotaapidipagina"/>
      </w:pPr>
      <w:r>
        <w:rPr>
          <w:rStyle w:val="Rimandonotaapidipagina"/>
        </w:rPr>
        <w:footnoteRef/>
      </w:r>
      <w:r>
        <w:t xml:space="preserve"> </w:t>
      </w:r>
      <w:r>
        <w:tab/>
        <w:t>Resta comunque ferma l’applicabilità per aiuti concessi su quelle basi l’applicabilità delle disposizioni in materia di RNA.</w:t>
      </w:r>
    </w:p>
  </w:footnote>
  <w:footnote w:id="7">
    <w:p w14:paraId="4D6FFF3D" w14:textId="615EEC23" w:rsidR="00AC1336" w:rsidRDefault="00AC1336">
      <w:pPr>
        <w:pStyle w:val="Testonotaapidipagina"/>
      </w:pPr>
      <w:r>
        <w:rPr>
          <w:rStyle w:val="Rimandonotaapidipagina"/>
        </w:rPr>
        <w:footnoteRef/>
      </w:r>
      <w:r>
        <w:t xml:space="preserve"> </w:t>
      </w:r>
      <w:r>
        <w:tab/>
      </w:r>
      <w:r w:rsidRPr="00AC1336">
        <w:t>L</w:t>
      </w:r>
      <w:r>
        <w:t>’importo massimo dell’aiuto concedibile in conformità con il Reg. 2831/2023, di cui all’Art. 3 del medesimo regolamento,</w:t>
      </w:r>
      <w:r w:rsidRPr="00AC1336">
        <w:t xml:space="preserve"> non è rilevante ai fini dell’applicazione dell’Art. 53(2) RDC. Ciò che rileva è necessariamente il costo totale dell’operazione. Ne segue che un aiuto concesso in de minimis per una operazione il cui costo totale superi la soglia </w:t>
      </w:r>
      <w:r w:rsidR="00496DD4">
        <w:t>di cui all’Art. 53(2) RDC</w:t>
      </w:r>
      <w:r w:rsidRPr="00AC1336">
        <w:t xml:space="preserve">, </w:t>
      </w:r>
      <w:r w:rsidR="00496DD4">
        <w:t xml:space="preserve">ciò </w:t>
      </w:r>
      <w:r w:rsidRPr="00AC1336">
        <w:t xml:space="preserve">comporterebbe </w:t>
      </w:r>
      <w:r w:rsidR="00496DD4">
        <w:t>la non applicabilità della medesima disposizione</w:t>
      </w:r>
      <w:r w:rsidRPr="00AC1336">
        <w:t>.</w:t>
      </w:r>
    </w:p>
  </w:footnote>
  <w:footnote w:id="8">
    <w:p w14:paraId="662A42D1" w14:textId="7D9CFD26" w:rsidR="008F5918" w:rsidRDefault="008F5918" w:rsidP="00D174DE">
      <w:pPr>
        <w:pStyle w:val="Testonotaapidipagina"/>
      </w:pPr>
      <w:r>
        <w:rPr>
          <w:rStyle w:val="Rimandonotaapidipagina"/>
        </w:rPr>
        <w:footnoteRef/>
      </w:r>
      <w:r>
        <w:t xml:space="preserve"> </w:t>
      </w:r>
      <w:r>
        <w:tab/>
        <w:t xml:space="preserve">La disposizione richiamata così recita: </w:t>
      </w:r>
      <w:r w:rsidRPr="00D77962">
        <w:t>“</w:t>
      </w:r>
      <w:r w:rsidRPr="00D77962">
        <w:rPr>
          <w:i/>
          <w:iCs/>
        </w:rPr>
        <w:t xml:space="preserve">In deroga al primo comma del presente paragrafo, l’autorità di gestione può convenire di esentare dall’obbligo di cui a tale comma alcune operazioni nel </w:t>
      </w:r>
      <w:r w:rsidRPr="00D77962">
        <w:rPr>
          <w:b/>
          <w:bCs/>
          <w:i/>
          <w:iCs/>
        </w:rPr>
        <w:t>settore della ricerca e dell’innovazione</w:t>
      </w:r>
      <w:r w:rsidRPr="00D77962">
        <w:rPr>
          <w:i/>
          <w:iCs/>
        </w:rPr>
        <w:t>, previa approvazione del comitato di sorveglianza. Inoltre</w:t>
      </w:r>
      <w:r>
        <w:rPr>
          <w:i/>
          <w:iCs/>
        </w:rPr>
        <w:t>,</w:t>
      </w:r>
      <w:r w:rsidRPr="00D77962">
        <w:rPr>
          <w:i/>
          <w:iCs/>
        </w:rPr>
        <w:t xml:space="preserve"> le indennità e gli stipendi versati ai partecipanti possono essere rimborsati in conformità del paragrafo 1, lettera a)</w:t>
      </w:r>
      <w:r w:rsidRPr="00D77962">
        <w:t>” [a) rimborso dei costi ammissibili effettivamente sostenuti, N.d.R.]</w:t>
      </w:r>
    </w:p>
  </w:footnote>
  <w:footnote w:id="9">
    <w:p w14:paraId="5687131D" w14:textId="046FF11A" w:rsidR="008F5918" w:rsidRDefault="008F5918" w:rsidP="00984B99">
      <w:pPr>
        <w:pStyle w:val="Testonotaapidipagina"/>
      </w:pPr>
      <w:r>
        <w:rPr>
          <w:rStyle w:val="Rimandonotaapidipagina"/>
        </w:rPr>
        <w:footnoteRef/>
      </w:r>
      <w:r>
        <w:t xml:space="preserve"> </w:t>
      </w:r>
      <w:r>
        <w:tab/>
        <w:t>Le disposizioni richiamate così recitano: “</w:t>
      </w:r>
      <w:r w:rsidRPr="00984B99">
        <w:rPr>
          <w:i/>
          <w:iCs/>
        </w:rPr>
        <w:t xml:space="preserve">3. Gli importi delle forme di sovvenzioni di cui alle lettere b), c) e d) del paragrafo 1 sono stabiliti in uno dei modi seguenti [...]: c) conformemente alle norme di applicazione dei corrispondenti costi unitari, somme forfettarie e tassi forfettari applicabili nelle </w:t>
      </w:r>
      <w:r w:rsidRPr="00984B99">
        <w:rPr>
          <w:b/>
          <w:bCs/>
          <w:i/>
          <w:iCs/>
        </w:rPr>
        <w:t>politiche dell’Unione</w:t>
      </w:r>
      <w:r w:rsidRPr="00984B99">
        <w:rPr>
          <w:i/>
          <w:iCs/>
        </w:rPr>
        <w:t xml:space="preserve"> </w:t>
      </w:r>
      <w:r w:rsidRPr="00984B99">
        <w:rPr>
          <w:b/>
          <w:bCs/>
          <w:i/>
          <w:iCs/>
        </w:rPr>
        <w:t>per tipologie analoghe di operazioni</w:t>
      </w:r>
      <w:r w:rsidRPr="00984B99">
        <w:rPr>
          <w:i/>
          <w:iCs/>
        </w:rPr>
        <w:t xml:space="preserve">; d) conformemente alle norme di applicazione dei corrispondenti costi unitari, somme forfettarie e tassi forfettari applicati in </w:t>
      </w:r>
      <w:r w:rsidRPr="00984B99">
        <w:rPr>
          <w:b/>
          <w:bCs/>
          <w:i/>
          <w:iCs/>
        </w:rPr>
        <w:t>meccanismi di sovvenzione finanziati totalmente dallo Stato membro per tipologie analoghe di operazioni</w:t>
      </w:r>
      <w:r>
        <w:rPr>
          <w:b/>
          <w:bCs/>
        </w:rPr>
        <w:t>”</w:t>
      </w:r>
      <w:r>
        <w:t>.</w:t>
      </w:r>
    </w:p>
  </w:footnote>
  <w:footnote w:id="10">
    <w:p w14:paraId="7AC75A8C" w14:textId="1E49557A" w:rsidR="004F1D0C" w:rsidRDefault="004F1D0C">
      <w:pPr>
        <w:pStyle w:val="Testonotaapidipagina"/>
      </w:pPr>
      <w:r>
        <w:rPr>
          <w:rStyle w:val="Rimandonotaapidipagina"/>
        </w:rPr>
        <w:footnoteRef/>
      </w:r>
      <w:r>
        <w:t xml:space="preserve"> </w:t>
      </w:r>
      <w:r>
        <w:tab/>
        <w:t>Art. 54 RDC.</w:t>
      </w:r>
    </w:p>
  </w:footnote>
  <w:footnote w:id="11">
    <w:p w14:paraId="264F0F83" w14:textId="2FF22661" w:rsidR="004F1D0C" w:rsidRDefault="004F1D0C">
      <w:pPr>
        <w:pStyle w:val="Testonotaapidipagina"/>
      </w:pPr>
      <w:r>
        <w:rPr>
          <w:rStyle w:val="Rimandonotaapidipagina"/>
        </w:rPr>
        <w:footnoteRef/>
      </w:r>
      <w:r>
        <w:t xml:space="preserve"> </w:t>
      </w:r>
      <w:r>
        <w:tab/>
        <w:t>Art. 53(3)(a)(iii) RDC.</w:t>
      </w:r>
    </w:p>
  </w:footnote>
  <w:footnote w:id="12">
    <w:p w14:paraId="20A37CFA" w14:textId="7169E36F" w:rsidR="008F5918" w:rsidRDefault="008F5918">
      <w:pPr>
        <w:pStyle w:val="Testonotaapidipagina"/>
      </w:pPr>
      <w:r>
        <w:rPr>
          <w:rStyle w:val="Rimandonotaapidipagina"/>
        </w:rPr>
        <w:footnoteRef/>
      </w:r>
      <w:r>
        <w:t xml:space="preserve"> </w:t>
      </w:r>
      <w:r>
        <w:tab/>
        <w:t>Ai fini di una corretta applicazione dei tassi forfettari cui si riferiscono le opzioni trattate nel presente paragrafo, è opportuno tenere presente la distinzione da operare tra costi diretti ed indiretti e tenere presente cosa abbia a doversi intendere per “costi del personale”. Per “costi diretti” di una operazione sono da intendersi i “</w:t>
      </w:r>
      <w:r w:rsidRPr="00A0737C">
        <w:rPr>
          <w:i/>
          <w:iCs/>
        </w:rPr>
        <w:t>costi direttamente collegati all’esecuzione dell’operazione o del progetto per i quali può essere dimostrato un nesso diretto con la singola operazione o il singolo progetto in questione</w:t>
      </w:r>
      <w:r>
        <w:t>”. Per “costi indiretti” di una operazione si intendono i “</w:t>
      </w:r>
      <w:r w:rsidRPr="00A0737C">
        <w:rPr>
          <w:i/>
          <w:iCs/>
        </w:rPr>
        <w:t>costi che non sono o non possono essere collegati direttamente all’esecuzione dell’operazione in questione. Tali costi potrebbero comprendere spese amministrative per le quali è difficile determinare con esattezza l’importo attribuibile a un’operazione specifica o a un progetto specifico (si tratta solita­ mente di spese amministrative/per il personale quali: costi di gestione, spese di assunzione, costi per il contabile o gli addetti alle pulizie ecc.; bollette telefoniche, dell’acqua o dell’elettricità ecc.</w:t>
      </w:r>
      <w:r>
        <w:t>”. Infine i “costi del personale” sono “</w:t>
      </w:r>
      <w:r w:rsidRPr="00CF5C21">
        <w:rPr>
          <w:i/>
          <w:iCs/>
        </w:rPr>
        <w:t>Definiti nella normativa nazionale e in genere i costi derivanti da un accordo tra il datore di lavoro e il lavoratore o da contratti di prestazione di servizi per il personale esterno. Comprendono, di norma, le retribuzioni totali, incluse le retribuzioni in natura, in linea con i contratti collettivi, versate al personale a compenso del lavoro prestato in relazione all’operazione. Tali costi comprendono anche le tasse e i contributi previdenziali a carico dei lavoratori, nonché gli oneri sociali volontari e obbligatori a carico del datore di lavoro</w:t>
      </w:r>
      <w:r>
        <w:t>”; questi possono a loro volta essere distinti in “diretti” e “indiretti”: i) nel caso dei primi ci si riferisce ad esempio al costo del personale specializzato coinvolto in un progetto di RS&amp;I e ii) nel caso di quelli indiretti, al personale amministrativo parzialmente impiegato per le attività relative al medesimo progetto.</w:t>
      </w:r>
    </w:p>
  </w:footnote>
  <w:footnote w:id="13">
    <w:p w14:paraId="550E75AE" w14:textId="649C93CD" w:rsidR="008F5918" w:rsidRDefault="008F5918">
      <w:pPr>
        <w:pStyle w:val="Testonotaapidipagina"/>
      </w:pPr>
      <w:r>
        <w:rPr>
          <w:rStyle w:val="Rimandonotaapidipagina"/>
        </w:rPr>
        <w:footnoteRef/>
      </w:r>
      <w:r>
        <w:t xml:space="preserve"> </w:t>
      </w:r>
      <w:r>
        <w:tab/>
        <w:t>Al momento in cui si scrive non si dispone di una norma nazionale in materia di ammissibilità della spesa aggiornate e specificamente applicabile al ciclo di programmazione 2021 – 2027.</w:t>
      </w:r>
    </w:p>
  </w:footnote>
  <w:footnote w:id="14">
    <w:p w14:paraId="07B6928E" w14:textId="1FF9F40C" w:rsidR="008F5918" w:rsidRDefault="008F5918">
      <w:pPr>
        <w:pStyle w:val="Testonotaapidipagina"/>
      </w:pPr>
      <w:r>
        <w:rPr>
          <w:rStyle w:val="Rimandonotaapidipagina"/>
        </w:rPr>
        <w:footnoteRef/>
      </w:r>
      <w:r>
        <w:t xml:space="preserve"> </w:t>
      </w:r>
      <w:r>
        <w:tab/>
        <w:t>Il Regolamento GBER è stato da ultimo modificato dal Reg. (UE) 2023/1315.</w:t>
      </w:r>
    </w:p>
  </w:footnote>
  <w:footnote w:id="15">
    <w:p w14:paraId="16D29B74" w14:textId="0D17FBC4" w:rsidR="008F5918" w:rsidRDefault="008F5918">
      <w:pPr>
        <w:pStyle w:val="Testonotaapidipagina"/>
      </w:pPr>
      <w:r>
        <w:rPr>
          <w:rStyle w:val="Rimandonotaapidipagina"/>
        </w:rPr>
        <w:footnoteRef/>
      </w:r>
      <w:r>
        <w:t xml:space="preserve"> </w:t>
      </w:r>
      <w:r>
        <w:tab/>
        <w:t>Lo schema non tratta la possibilità disciplinata dallo stesso Art. 25 GBER al par. 3(e) che prevede che i costi ammissibili ivi trattati “</w:t>
      </w:r>
      <w:r w:rsidRPr="00326F38">
        <w:rPr>
          <w:i/>
          <w:iCs/>
        </w:rPr>
        <w:t>possono in alternativa essere calcolati sulla base di un approccio semplificato in materia di costi, sotto forma di una percentuale forfettaria che può raggiungere il 20 %, applicata al totale dei costi ammissibili del progetto di ricerca e sviluppo di cui alle lettere da a) a d). In tal caso, i costi del progetto di ricerca e sviluppo utilizzati per il calcolo dei costi indiretti sono stabiliti sulla base delle normali prassi contabili e comprendono unicamente i costi ammissibili dei progetti di ricerca e sviluppo di cui alle lettere da a) a d)</w:t>
      </w:r>
      <w:r>
        <w:t>”.</w:t>
      </w:r>
    </w:p>
  </w:footnote>
  <w:footnote w:id="16">
    <w:p w14:paraId="169A4198" w14:textId="77777777" w:rsidR="008F5918" w:rsidRDefault="008F5918" w:rsidP="00135F68">
      <w:pPr>
        <w:pStyle w:val="Testonotaapidipagina"/>
      </w:pPr>
      <w:r>
        <w:rPr>
          <w:rStyle w:val="Rimandonotaapidipagina"/>
        </w:rPr>
        <w:footnoteRef/>
      </w:r>
      <w:r>
        <w:t xml:space="preserve"> </w:t>
      </w:r>
      <w:r>
        <w:tab/>
        <w:t>Il metodo qui presentato si riferisce al precedente periodo di programmazione. Tuttavia, sotto il profilo metodologico, lo stesso non presenta elementi di contrasto con il quadro normativo applicabile al ciclo di programmazione 2021 – 2027.</w:t>
      </w:r>
    </w:p>
  </w:footnote>
  <w:footnote w:id="17">
    <w:p w14:paraId="06AF4979" w14:textId="77777777" w:rsidR="008F5918" w:rsidRDefault="008F5918" w:rsidP="00801F4F">
      <w:pPr>
        <w:pStyle w:val="Testonotaapidipagina"/>
      </w:pPr>
      <w:r>
        <w:rPr>
          <w:rStyle w:val="Rimandonotaapidipagina"/>
        </w:rPr>
        <w:footnoteRef/>
      </w:r>
      <w:r>
        <w:t xml:space="preserve"> </w:t>
      </w:r>
      <w:r>
        <w:tab/>
      </w:r>
      <w:r w:rsidRPr="0055655F">
        <w:t>Nel caso del nuovo ciclo di programmazione 2021 – 2027, i riferimenti normativi sono costituiti dalle disposizioni di cui all’Art. 53(1)</w:t>
      </w:r>
      <w:r>
        <w:t xml:space="preserve">(b) e </w:t>
      </w:r>
      <w:r w:rsidRPr="0055655F">
        <w:t xml:space="preserve">(c) e, nel caso di specie per quanto al metodo dal par. 3(a)(i) </w:t>
      </w:r>
      <w:r>
        <w:t xml:space="preserve">e (ii) </w:t>
      </w:r>
      <w:r w:rsidRPr="0055655F">
        <w:t>del medesimo articolo</w:t>
      </w:r>
      <w:r>
        <w:t>.</w:t>
      </w:r>
    </w:p>
  </w:footnote>
  <w:footnote w:id="18">
    <w:p w14:paraId="150766B6" w14:textId="77968E6A" w:rsidR="008F5918" w:rsidRDefault="008F5918">
      <w:pPr>
        <w:pStyle w:val="Testonotaapidipagina"/>
      </w:pPr>
      <w:r>
        <w:rPr>
          <w:rStyle w:val="Rimandonotaapidipagina"/>
        </w:rPr>
        <w:footnoteRef/>
      </w:r>
      <w:r>
        <w:t xml:space="preserve"> </w:t>
      </w:r>
      <w:r>
        <w:tab/>
        <w:t>Ci si riferisce qui al caso di applicazione di metodologie ex Art. 53(3) e non anche ai casi di applicazione di tassi forfettari definiti dal regolamento e per i quali non sia necessaria la definizione di un metodo.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D6C00" w14:textId="0264F691" w:rsidR="008F5918" w:rsidRDefault="008F5918" w:rsidP="003C1227">
    <w:pPr>
      <w:pStyle w:val="Intestazione"/>
      <w:jc w:val="center"/>
    </w:pPr>
    <w:r>
      <w:rPr>
        <w:noProof/>
      </w:rPr>
      <w:drawing>
        <wp:inline distT="0" distB="0" distL="0" distR="0" wp14:anchorId="7653DC2F" wp14:editId="05B96C3A">
          <wp:extent cx="6120130" cy="419100"/>
          <wp:effectExtent l="0" t="0" r="0" b="0"/>
          <wp:docPr id="498199521" name="image1.jpeg">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8340794-AAE4-4F6F-93E7-922813BEAF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 name="image1.jpeg">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8340794-AAE4-4F6F-93E7-922813BEAF24}"/>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4191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0E30C" w14:textId="09BC5712" w:rsidR="008F5918" w:rsidRDefault="008F5918">
    <w:pPr>
      <w:pStyle w:val="Intestazione"/>
    </w:pPr>
    <w:r>
      <w:rPr>
        <w:noProof/>
      </w:rPr>
      <w:drawing>
        <wp:inline distT="0" distB="0" distL="0" distR="0" wp14:anchorId="196509B6" wp14:editId="029455C5">
          <wp:extent cx="6120130" cy="419100"/>
          <wp:effectExtent l="0" t="0" r="0" b="0"/>
          <wp:docPr id="333945467" name="image1.jpeg">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8340794-AAE4-4F6F-93E7-922813BEAF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 name="image1.jpeg">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8340794-AAE4-4F6F-93E7-922813BEAF24}"/>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419100"/>
                  </a:xfrm>
                  <a:prstGeom prst="rect">
                    <a:avLst/>
                  </a:prstGeom>
                  <a:noFill/>
                  <a:ln>
                    <a:noFill/>
                  </a:ln>
                </pic:spPr>
              </pic:pic>
            </a:graphicData>
          </a:graphic>
        </wp:inline>
      </w:drawing>
    </w:r>
  </w:p>
  <w:p w14:paraId="259F2932" w14:textId="4661497C" w:rsidR="008F5918" w:rsidRDefault="008F591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16834"/>
    <w:multiLevelType w:val="hybridMultilevel"/>
    <w:tmpl w:val="A6CC6D90"/>
    <w:lvl w:ilvl="0" w:tplc="0C9CF7B8">
      <w:start w:val="1"/>
      <w:numFmt w:val="bullet"/>
      <w:lvlText w:val=""/>
      <w:lvlJc w:val="left"/>
      <w:pPr>
        <w:ind w:left="720" w:hanging="360"/>
      </w:pPr>
      <w:rPr>
        <w:rFonts w:ascii="Wingdings" w:hAnsi="Wingdings" w:hint="default"/>
        <w:b w:val="0"/>
        <w:i w:val="0"/>
        <w:caps w:val="0"/>
        <w:strike w:val="0"/>
        <w:dstrike w:val="0"/>
        <w:vanish w:val="0"/>
        <w:color w:val="2F5496" w:themeColor="accent1" w:themeShade="BF"/>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2B6136"/>
    <w:multiLevelType w:val="hybridMultilevel"/>
    <w:tmpl w:val="5A88B0A2"/>
    <w:lvl w:ilvl="0" w:tplc="E6DE7CA8">
      <w:start w:val="1"/>
      <w:numFmt w:val="decimal"/>
      <w:lvlText w:val="%1"/>
      <w:lvlJc w:val="left"/>
      <w:pPr>
        <w:ind w:left="645" w:hanging="432"/>
      </w:pPr>
      <w:rPr>
        <w:rFonts w:ascii="Calibri" w:eastAsia="Calibri" w:hAnsi="Calibri" w:cs="Calibri" w:hint="default"/>
        <w:b/>
        <w:bCs/>
        <w:i w:val="0"/>
        <w:iCs w:val="0"/>
        <w:w w:val="99"/>
        <w:sz w:val="24"/>
        <w:szCs w:val="24"/>
      </w:rPr>
    </w:lvl>
    <w:lvl w:ilvl="1" w:tplc="0C9CF7B8">
      <w:start w:val="1"/>
      <w:numFmt w:val="bullet"/>
      <w:lvlText w:val=""/>
      <w:lvlJc w:val="left"/>
      <w:pPr>
        <w:ind w:left="931" w:hanging="360"/>
      </w:pPr>
      <w:rPr>
        <w:rFonts w:ascii="Wingdings" w:hAnsi="Wingdings" w:hint="default"/>
        <w:b w:val="0"/>
        <w:i w:val="0"/>
        <w:caps w:val="0"/>
        <w:strike w:val="0"/>
        <w:dstrike w:val="0"/>
        <w:vanish w:val="0"/>
        <w:color w:val="2F5496" w:themeColor="accent1" w:themeShade="BF"/>
        <w:sz w:val="22"/>
        <w:vertAlign w:val="baseline"/>
      </w:rPr>
    </w:lvl>
    <w:lvl w:ilvl="2" w:tplc="45901CC2">
      <w:numFmt w:val="bullet"/>
      <w:lvlText w:val="•"/>
      <w:lvlJc w:val="left"/>
      <w:pPr>
        <w:ind w:left="1955" w:hanging="360"/>
      </w:pPr>
      <w:rPr>
        <w:rFonts w:hint="default"/>
      </w:rPr>
    </w:lvl>
    <w:lvl w:ilvl="3" w:tplc="981AC3D8">
      <w:numFmt w:val="bullet"/>
      <w:lvlText w:val="•"/>
      <w:lvlJc w:val="left"/>
      <w:pPr>
        <w:ind w:left="2971" w:hanging="360"/>
      </w:pPr>
      <w:rPr>
        <w:rFonts w:hint="default"/>
      </w:rPr>
    </w:lvl>
    <w:lvl w:ilvl="4" w:tplc="B734CED2">
      <w:numFmt w:val="bullet"/>
      <w:lvlText w:val="•"/>
      <w:lvlJc w:val="left"/>
      <w:pPr>
        <w:ind w:left="3986" w:hanging="360"/>
      </w:pPr>
      <w:rPr>
        <w:rFonts w:hint="default"/>
      </w:rPr>
    </w:lvl>
    <w:lvl w:ilvl="5" w:tplc="DBC225D6">
      <w:numFmt w:val="bullet"/>
      <w:lvlText w:val="•"/>
      <w:lvlJc w:val="left"/>
      <w:pPr>
        <w:ind w:left="5002" w:hanging="360"/>
      </w:pPr>
      <w:rPr>
        <w:rFonts w:hint="default"/>
      </w:rPr>
    </w:lvl>
    <w:lvl w:ilvl="6" w:tplc="E2C8BBD2">
      <w:numFmt w:val="bullet"/>
      <w:lvlText w:val="•"/>
      <w:lvlJc w:val="left"/>
      <w:pPr>
        <w:ind w:left="6017" w:hanging="360"/>
      </w:pPr>
      <w:rPr>
        <w:rFonts w:hint="default"/>
      </w:rPr>
    </w:lvl>
    <w:lvl w:ilvl="7" w:tplc="E104ED10">
      <w:numFmt w:val="bullet"/>
      <w:lvlText w:val="•"/>
      <w:lvlJc w:val="left"/>
      <w:pPr>
        <w:ind w:left="7033" w:hanging="360"/>
      </w:pPr>
      <w:rPr>
        <w:rFonts w:hint="default"/>
      </w:rPr>
    </w:lvl>
    <w:lvl w:ilvl="8" w:tplc="395A9126">
      <w:numFmt w:val="bullet"/>
      <w:lvlText w:val="•"/>
      <w:lvlJc w:val="left"/>
      <w:pPr>
        <w:ind w:left="8048" w:hanging="360"/>
      </w:pPr>
      <w:rPr>
        <w:rFonts w:hint="default"/>
      </w:rPr>
    </w:lvl>
  </w:abstractNum>
  <w:abstractNum w:abstractNumId="2" w15:restartNumberingAfterBreak="0">
    <w:nsid w:val="066F1333"/>
    <w:multiLevelType w:val="hybridMultilevel"/>
    <w:tmpl w:val="C16E3EA8"/>
    <w:lvl w:ilvl="0" w:tplc="0C9CF7B8">
      <w:start w:val="1"/>
      <w:numFmt w:val="bullet"/>
      <w:lvlText w:val=""/>
      <w:lvlJc w:val="left"/>
      <w:pPr>
        <w:ind w:left="931" w:hanging="360"/>
      </w:pPr>
      <w:rPr>
        <w:rFonts w:ascii="Wingdings" w:hAnsi="Wingdings" w:hint="default"/>
        <w:b w:val="0"/>
        <w:bCs w:val="0"/>
        <w:i w:val="0"/>
        <w:iCs w:val="0"/>
        <w:caps w:val="0"/>
        <w:strike w:val="0"/>
        <w:dstrike w:val="0"/>
        <w:vanish w:val="0"/>
        <w:color w:val="2F5496" w:themeColor="accent1" w:themeShade="BF"/>
        <w:spacing w:val="0"/>
        <w:w w:val="99"/>
        <w:sz w:val="22"/>
        <w:szCs w:val="24"/>
        <w:vertAlign w:val="baseline"/>
        <w:lang w:val="it-IT" w:eastAsia="en-US" w:bidi="ar-SA"/>
      </w:rPr>
    </w:lvl>
    <w:lvl w:ilvl="1" w:tplc="FFFFFFFF">
      <w:numFmt w:val="bullet"/>
      <w:lvlText w:val="•"/>
      <w:lvlJc w:val="left"/>
      <w:pPr>
        <w:ind w:left="1854" w:hanging="360"/>
      </w:pPr>
      <w:rPr>
        <w:rFonts w:hint="default"/>
        <w:lang w:val="it-IT" w:eastAsia="en-US" w:bidi="ar-SA"/>
      </w:rPr>
    </w:lvl>
    <w:lvl w:ilvl="2" w:tplc="FFFFFFFF">
      <w:numFmt w:val="bullet"/>
      <w:lvlText w:val="•"/>
      <w:lvlJc w:val="left"/>
      <w:pPr>
        <w:ind w:left="2768" w:hanging="360"/>
      </w:pPr>
      <w:rPr>
        <w:rFonts w:hint="default"/>
        <w:lang w:val="it-IT" w:eastAsia="en-US" w:bidi="ar-SA"/>
      </w:rPr>
    </w:lvl>
    <w:lvl w:ilvl="3" w:tplc="FFFFFFFF">
      <w:numFmt w:val="bullet"/>
      <w:lvlText w:val="•"/>
      <w:lvlJc w:val="left"/>
      <w:pPr>
        <w:ind w:left="3682" w:hanging="360"/>
      </w:pPr>
      <w:rPr>
        <w:rFonts w:hint="default"/>
        <w:lang w:val="it-IT" w:eastAsia="en-US" w:bidi="ar-SA"/>
      </w:rPr>
    </w:lvl>
    <w:lvl w:ilvl="4" w:tplc="FFFFFFFF">
      <w:numFmt w:val="bullet"/>
      <w:lvlText w:val="•"/>
      <w:lvlJc w:val="left"/>
      <w:pPr>
        <w:ind w:left="4596" w:hanging="360"/>
      </w:pPr>
      <w:rPr>
        <w:rFonts w:hint="default"/>
        <w:lang w:val="it-IT" w:eastAsia="en-US" w:bidi="ar-SA"/>
      </w:rPr>
    </w:lvl>
    <w:lvl w:ilvl="5" w:tplc="FFFFFFFF">
      <w:numFmt w:val="bullet"/>
      <w:lvlText w:val="•"/>
      <w:lvlJc w:val="left"/>
      <w:pPr>
        <w:ind w:left="5510" w:hanging="360"/>
      </w:pPr>
      <w:rPr>
        <w:rFonts w:hint="default"/>
        <w:lang w:val="it-IT" w:eastAsia="en-US" w:bidi="ar-SA"/>
      </w:rPr>
    </w:lvl>
    <w:lvl w:ilvl="6" w:tplc="FFFFFFFF">
      <w:numFmt w:val="bullet"/>
      <w:lvlText w:val="•"/>
      <w:lvlJc w:val="left"/>
      <w:pPr>
        <w:ind w:left="6424" w:hanging="360"/>
      </w:pPr>
      <w:rPr>
        <w:rFonts w:hint="default"/>
        <w:lang w:val="it-IT" w:eastAsia="en-US" w:bidi="ar-SA"/>
      </w:rPr>
    </w:lvl>
    <w:lvl w:ilvl="7" w:tplc="FFFFFFFF">
      <w:numFmt w:val="bullet"/>
      <w:lvlText w:val="•"/>
      <w:lvlJc w:val="left"/>
      <w:pPr>
        <w:ind w:left="7338" w:hanging="360"/>
      </w:pPr>
      <w:rPr>
        <w:rFonts w:hint="default"/>
        <w:lang w:val="it-IT" w:eastAsia="en-US" w:bidi="ar-SA"/>
      </w:rPr>
    </w:lvl>
    <w:lvl w:ilvl="8" w:tplc="FFFFFFFF">
      <w:numFmt w:val="bullet"/>
      <w:lvlText w:val="•"/>
      <w:lvlJc w:val="left"/>
      <w:pPr>
        <w:ind w:left="8252" w:hanging="360"/>
      </w:pPr>
      <w:rPr>
        <w:rFonts w:hint="default"/>
        <w:lang w:val="it-IT" w:eastAsia="en-US" w:bidi="ar-SA"/>
      </w:rPr>
    </w:lvl>
  </w:abstractNum>
  <w:abstractNum w:abstractNumId="3" w15:restartNumberingAfterBreak="0">
    <w:nsid w:val="07324C0D"/>
    <w:multiLevelType w:val="hybridMultilevel"/>
    <w:tmpl w:val="E826A292"/>
    <w:lvl w:ilvl="0" w:tplc="FD64A9D6">
      <w:start w:val="1"/>
      <w:numFmt w:val="decimal"/>
      <w:lvlText w:val="%1."/>
      <w:lvlJc w:val="right"/>
      <w:pPr>
        <w:ind w:left="720" w:hanging="360"/>
      </w:pPr>
      <w:rPr>
        <w:rFonts w:ascii="Titillium Web" w:hAnsi="Titillium Web" w:hint="default"/>
        <w:b w:val="0"/>
        <w:i w:val="0"/>
        <w:caps w:val="0"/>
        <w:strike w:val="0"/>
        <w:dstrike w:val="0"/>
        <w:vanish w:val="0"/>
        <w:color w:val="auto"/>
        <w:spacing w:val="-1"/>
        <w:w w:val="99"/>
        <w:position w:val="0"/>
        <w:sz w:val="1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C84447"/>
    <w:multiLevelType w:val="hybridMultilevel"/>
    <w:tmpl w:val="20828E0E"/>
    <w:lvl w:ilvl="0" w:tplc="4D0E6F60">
      <w:start w:val="1"/>
      <w:numFmt w:val="lowerRoman"/>
      <w:lvlText w:val="%1)"/>
      <w:lvlJc w:val="left"/>
      <w:pPr>
        <w:ind w:left="180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95A6710"/>
    <w:multiLevelType w:val="hybridMultilevel"/>
    <w:tmpl w:val="5F3ABD7C"/>
    <w:lvl w:ilvl="0" w:tplc="C6AEA030">
      <w:numFmt w:val="bullet"/>
      <w:lvlText w:val=""/>
      <w:lvlJc w:val="left"/>
      <w:pPr>
        <w:ind w:left="931" w:hanging="360"/>
      </w:pPr>
      <w:rPr>
        <w:rFonts w:ascii="Wingdings" w:eastAsia="Wingdings" w:hAnsi="Wingdings" w:cs="Wingdings" w:hint="default"/>
        <w:b w:val="0"/>
        <w:bCs w:val="0"/>
        <w:i w:val="0"/>
        <w:iCs w:val="0"/>
        <w:spacing w:val="0"/>
        <w:w w:val="99"/>
        <w:sz w:val="24"/>
        <w:szCs w:val="24"/>
        <w:lang w:val="it-IT" w:eastAsia="en-US" w:bidi="ar-SA"/>
      </w:rPr>
    </w:lvl>
    <w:lvl w:ilvl="1" w:tplc="0172CDAC">
      <w:numFmt w:val="bullet"/>
      <w:lvlText w:val="•"/>
      <w:lvlJc w:val="left"/>
      <w:pPr>
        <w:ind w:left="1854" w:hanging="360"/>
      </w:pPr>
      <w:rPr>
        <w:rFonts w:hint="default"/>
        <w:lang w:val="it-IT" w:eastAsia="en-US" w:bidi="ar-SA"/>
      </w:rPr>
    </w:lvl>
    <w:lvl w:ilvl="2" w:tplc="B67C57F0">
      <w:numFmt w:val="bullet"/>
      <w:lvlText w:val="•"/>
      <w:lvlJc w:val="left"/>
      <w:pPr>
        <w:ind w:left="2768" w:hanging="360"/>
      </w:pPr>
      <w:rPr>
        <w:rFonts w:hint="default"/>
        <w:lang w:val="it-IT" w:eastAsia="en-US" w:bidi="ar-SA"/>
      </w:rPr>
    </w:lvl>
    <w:lvl w:ilvl="3" w:tplc="F4305AFE">
      <w:numFmt w:val="bullet"/>
      <w:lvlText w:val="•"/>
      <w:lvlJc w:val="left"/>
      <w:pPr>
        <w:ind w:left="3682" w:hanging="360"/>
      </w:pPr>
      <w:rPr>
        <w:rFonts w:hint="default"/>
        <w:lang w:val="it-IT" w:eastAsia="en-US" w:bidi="ar-SA"/>
      </w:rPr>
    </w:lvl>
    <w:lvl w:ilvl="4" w:tplc="3844D616">
      <w:numFmt w:val="bullet"/>
      <w:lvlText w:val="•"/>
      <w:lvlJc w:val="left"/>
      <w:pPr>
        <w:ind w:left="4596" w:hanging="360"/>
      </w:pPr>
      <w:rPr>
        <w:rFonts w:hint="default"/>
        <w:lang w:val="it-IT" w:eastAsia="en-US" w:bidi="ar-SA"/>
      </w:rPr>
    </w:lvl>
    <w:lvl w:ilvl="5" w:tplc="851630AA">
      <w:numFmt w:val="bullet"/>
      <w:lvlText w:val="•"/>
      <w:lvlJc w:val="left"/>
      <w:pPr>
        <w:ind w:left="5510" w:hanging="360"/>
      </w:pPr>
      <w:rPr>
        <w:rFonts w:hint="default"/>
        <w:lang w:val="it-IT" w:eastAsia="en-US" w:bidi="ar-SA"/>
      </w:rPr>
    </w:lvl>
    <w:lvl w:ilvl="6" w:tplc="6C14B696">
      <w:numFmt w:val="bullet"/>
      <w:lvlText w:val="•"/>
      <w:lvlJc w:val="left"/>
      <w:pPr>
        <w:ind w:left="6424" w:hanging="360"/>
      </w:pPr>
      <w:rPr>
        <w:rFonts w:hint="default"/>
        <w:lang w:val="it-IT" w:eastAsia="en-US" w:bidi="ar-SA"/>
      </w:rPr>
    </w:lvl>
    <w:lvl w:ilvl="7" w:tplc="248C60A2">
      <w:numFmt w:val="bullet"/>
      <w:lvlText w:val="•"/>
      <w:lvlJc w:val="left"/>
      <w:pPr>
        <w:ind w:left="7338" w:hanging="360"/>
      </w:pPr>
      <w:rPr>
        <w:rFonts w:hint="default"/>
        <w:lang w:val="it-IT" w:eastAsia="en-US" w:bidi="ar-SA"/>
      </w:rPr>
    </w:lvl>
    <w:lvl w:ilvl="8" w:tplc="BA26B694">
      <w:numFmt w:val="bullet"/>
      <w:lvlText w:val="•"/>
      <w:lvlJc w:val="left"/>
      <w:pPr>
        <w:ind w:left="8252" w:hanging="360"/>
      </w:pPr>
      <w:rPr>
        <w:rFonts w:hint="default"/>
        <w:lang w:val="it-IT" w:eastAsia="en-US" w:bidi="ar-SA"/>
      </w:rPr>
    </w:lvl>
  </w:abstractNum>
  <w:abstractNum w:abstractNumId="6" w15:restartNumberingAfterBreak="0">
    <w:nsid w:val="0B160F23"/>
    <w:multiLevelType w:val="hybridMultilevel"/>
    <w:tmpl w:val="ECEEE45C"/>
    <w:lvl w:ilvl="0" w:tplc="F8EE8B58">
      <w:start w:val="1"/>
      <w:numFmt w:val="lowerRoman"/>
      <w:lvlText w:val="%1."/>
      <w:lvlJc w:val="right"/>
      <w:pPr>
        <w:ind w:left="720" w:hanging="360"/>
      </w:pPr>
      <w:rPr>
        <w:rFonts w:ascii="Calibri" w:hAnsi="Calibri" w:hint="default"/>
        <w:b w:val="0"/>
        <w:i w:val="0"/>
        <w:caps w:val="0"/>
        <w:strike w:val="0"/>
        <w:dstrike w:val="0"/>
        <w:vanish w:val="0"/>
        <w:color w:val="2F5496" w:themeColor="accent1" w:themeShade="BF"/>
        <w:spacing w:val="-1"/>
        <w:w w:val="99"/>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417D6D"/>
    <w:multiLevelType w:val="hybridMultilevel"/>
    <w:tmpl w:val="37A665BA"/>
    <w:lvl w:ilvl="0" w:tplc="356E23D2">
      <w:start w:val="1"/>
      <w:numFmt w:val="lowerLetter"/>
      <w:lvlText w:val="%1)"/>
      <w:lvlJc w:val="left"/>
      <w:pPr>
        <w:ind w:left="720" w:hanging="360"/>
      </w:pPr>
      <w:rPr>
        <w:rFonts w:ascii="Calibri" w:hAnsi="Calibri" w:hint="default"/>
        <w:b w:val="0"/>
        <w:i w:val="0"/>
        <w:caps w:val="0"/>
        <w:strike w:val="0"/>
        <w:dstrike w:val="0"/>
        <w:vanish w:val="0"/>
        <w:color w:val="2F5496" w:themeColor="accent1" w:themeShade="BF"/>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AC3C5B"/>
    <w:multiLevelType w:val="hybridMultilevel"/>
    <w:tmpl w:val="7F74030A"/>
    <w:lvl w:ilvl="0" w:tplc="FB9AE554">
      <w:numFmt w:val="bullet"/>
      <w:lvlText w:val="-"/>
      <w:lvlJc w:val="left"/>
      <w:pPr>
        <w:ind w:left="391" w:hanging="142"/>
      </w:pPr>
      <w:rPr>
        <w:rFonts w:ascii="Calibri" w:eastAsia="Calibri" w:hAnsi="Calibri" w:cs="Calibri" w:hint="default"/>
        <w:b w:val="0"/>
        <w:bCs w:val="0"/>
        <w:i w:val="0"/>
        <w:iCs w:val="0"/>
        <w:spacing w:val="0"/>
        <w:w w:val="99"/>
        <w:sz w:val="20"/>
        <w:szCs w:val="20"/>
        <w:lang w:val="it-IT" w:eastAsia="en-US" w:bidi="ar-SA"/>
      </w:rPr>
    </w:lvl>
    <w:lvl w:ilvl="1" w:tplc="61D0CD64">
      <w:numFmt w:val="bullet"/>
      <w:lvlText w:val="•"/>
      <w:lvlJc w:val="left"/>
      <w:pPr>
        <w:ind w:left="676" w:hanging="142"/>
      </w:pPr>
      <w:rPr>
        <w:rFonts w:hint="default"/>
        <w:lang w:val="it-IT" w:eastAsia="en-US" w:bidi="ar-SA"/>
      </w:rPr>
    </w:lvl>
    <w:lvl w:ilvl="2" w:tplc="1886147C">
      <w:numFmt w:val="bullet"/>
      <w:lvlText w:val="•"/>
      <w:lvlJc w:val="left"/>
      <w:pPr>
        <w:ind w:left="953" w:hanging="142"/>
      </w:pPr>
      <w:rPr>
        <w:rFonts w:hint="default"/>
        <w:lang w:val="it-IT" w:eastAsia="en-US" w:bidi="ar-SA"/>
      </w:rPr>
    </w:lvl>
    <w:lvl w:ilvl="3" w:tplc="2578EFD0">
      <w:numFmt w:val="bullet"/>
      <w:lvlText w:val="•"/>
      <w:lvlJc w:val="left"/>
      <w:pPr>
        <w:ind w:left="1230" w:hanging="142"/>
      </w:pPr>
      <w:rPr>
        <w:rFonts w:hint="default"/>
        <w:lang w:val="it-IT" w:eastAsia="en-US" w:bidi="ar-SA"/>
      </w:rPr>
    </w:lvl>
    <w:lvl w:ilvl="4" w:tplc="9B08F254">
      <w:numFmt w:val="bullet"/>
      <w:lvlText w:val="•"/>
      <w:lvlJc w:val="left"/>
      <w:pPr>
        <w:ind w:left="1507" w:hanging="142"/>
      </w:pPr>
      <w:rPr>
        <w:rFonts w:hint="default"/>
        <w:lang w:val="it-IT" w:eastAsia="en-US" w:bidi="ar-SA"/>
      </w:rPr>
    </w:lvl>
    <w:lvl w:ilvl="5" w:tplc="00344638">
      <w:numFmt w:val="bullet"/>
      <w:lvlText w:val="•"/>
      <w:lvlJc w:val="left"/>
      <w:pPr>
        <w:ind w:left="1784" w:hanging="142"/>
      </w:pPr>
      <w:rPr>
        <w:rFonts w:hint="default"/>
        <w:lang w:val="it-IT" w:eastAsia="en-US" w:bidi="ar-SA"/>
      </w:rPr>
    </w:lvl>
    <w:lvl w:ilvl="6" w:tplc="578E5532">
      <w:numFmt w:val="bullet"/>
      <w:lvlText w:val="•"/>
      <w:lvlJc w:val="left"/>
      <w:pPr>
        <w:ind w:left="2060" w:hanging="142"/>
      </w:pPr>
      <w:rPr>
        <w:rFonts w:hint="default"/>
        <w:lang w:val="it-IT" w:eastAsia="en-US" w:bidi="ar-SA"/>
      </w:rPr>
    </w:lvl>
    <w:lvl w:ilvl="7" w:tplc="BBF2E846">
      <w:numFmt w:val="bullet"/>
      <w:lvlText w:val="•"/>
      <w:lvlJc w:val="left"/>
      <w:pPr>
        <w:ind w:left="2337" w:hanging="142"/>
      </w:pPr>
      <w:rPr>
        <w:rFonts w:hint="default"/>
        <w:lang w:val="it-IT" w:eastAsia="en-US" w:bidi="ar-SA"/>
      </w:rPr>
    </w:lvl>
    <w:lvl w:ilvl="8" w:tplc="7FA6A50A">
      <w:numFmt w:val="bullet"/>
      <w:lvlText w:val="•"/>
      <w:lvlJc w:val="left"/>
      <w:pPr>
        <w:ind w:left="2614" w:hanging="142"/>
      </w:pPr>
      <w:rPr>
        <w:rFonts w:hint="default"/>
        <w:lang w:val="it-IT" w:eastAsia="en-US" w:bidi="ar-SA"/>
      </w:rPr>
    </w:lvl>
  </w:abstractNum>
  <w:abstractNum w:abstractNumId="9" w15:restartNumberingAfterBreak="0">
    <w:nsid w:val="15977717"/>
    <w:multiLevelType w:val="hybridMultilevel"/>
    <w:tmpl w:val="132A6ECC"/>
    <w:lvl w:ilvl="0" w:tplc="A31AC4A8">
      <w:start w:val="1"/>
      <w:numFmt w:val="bullet"/>
      <w:lvlText w:val=""/>
      <w:lvlJc w:val="left"/>
      <w:pPr>
        <w:ind w:left="720" w:hanging="360"/>
      </w:pPr>
      <w:rPr>
        <w:rFonts w:ascii="Symbol" w:hAnsi="Symbol" w:hint="default"/>
        <w:b w:val="0"/>
        <w:i w:val="0"/>
        <w:caps w:val="0"/>
        <w:strike w:val="0"/>
        <w:dstrike w:val="0"/>
        <w:vanish w:val="0"/>
        <w:color w:val="2F5496" w:themeColor="accent1" w:themeShade="BF"/>
        <w:sz w:val="1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5C02CD3"/>
    <w:multiLevelType w:val="hybridMultilevel"/>
    <w:tmpl w:val="D264FD96"/>
    <w:lvl w:ilvl="0" w:tplc="20C6B538">
      <w:numFmt w:val="bullet"/>
      <w:lvlText w:val=""/>
      <w:lvlJc w:val="left"/>
      <w:pPr>
        <w:ind w:left="931" w:hanging="360"/>
      </w:pPr>
      <w:rPr>
        <w:rFonts w:ascii="Wingdings" w:eastAsia="Wingdings" w:hAnsi="Wingdings" w:cs="Wingdings" w:hint="default"/>
        <w:b w:val="0"/>
        <w:bCs w:val="0"/>
        <w:i w:val="0"/>
        <w:iCs w:val="0"/>
        <w:spacing w:val="0"/>
        <w:w w:val="99"/>
        <w:sz w:val="24"/>
        <w:szCs w:val="24"/>
        <w:lang w:val="it-IT" w:eastAsia="en-US" w:bidi="ar-SA"/>
      </w:rPr>
    </w:lvl>
    <w:lvl w:ilvl="1" w:tplc="C9DC9F02">
      <w:numFmt w:val="bullet"/>
      <w:lvlText w:val="•"/>
      <w:lvlJc w:val="left"/>
      <w:pPr>
        <w:ind w:left="1854" w:hanging="360"/>
      </w:pPr>
      <w:rPr>
        <w:rFonts w:hint="default"/>
        <w:lang w:val="it-IT" w:eastAsia="en-US" w:bidi="ar-SA"/>
      </w:rPr>
    </w:lvl>
    <w:lvl w:ilvl="2" w:tplc="AAD8C0AC">
      <w:numFmt w:val="bullet"/>
      <w:lvlText w:val="•"/>
      <w:lvlJc w:val="left"/>
      <w:pPr>
        <w:ind w:left="2768" w:hanging="360"/>
      </w:pPr>
      <w:rPr>
        <w:rFonts w:hint="default"/>
        <w:lang w:val="it-IT" w:eastAsia="en-US" w:bidi="ar-SA"/>
      </w:rPr>
    </w:lvl>
    <w:lvl w:ilvl="3" w:tplc="2E3E750C">
      <w:numFmt w:val="bullet"/>
      <w:lvlText w:val="•"/>
      <w:lvlJc w:val="left"/>
      <w:pPr>
        <w:ind w:left="3682" w:hanging="360"/>
      </w:pPr>
      <w:rPr>
        <w:rFonts w:hint="default"/>
        <w:lang w:val="it-IT" w:eastAsia="en-US" w:bidi="ar-SA"/>
      </w:rPr>
    </w:lvl>
    <w:lvl w:ilvl="4" w:tplc="ADF062B4">
      <w:numFmt w:val="bullet"/>
      <w:lvlText w:val="•"/>
      <w:lvlJc w:val="left"/>
      <w:pPr>
        <w:ind w:left="4596" w:hanging="360"/>
      </w:pPr>
      <w:rPr>
        <w:rFonts w:hint="default"/>
        <w:lang w:val="it-IT" w:eastAsia="en-US" w:bidi="ar-SA"/>
      </w:rPr>
    </w:lvl>
    <w:lvl w:ilvl="5" w:tplc="236EA5BE">
      <w:numFmt w:val="bullet"/>
      <w:lvlText w:val="•"/>
      <w:lvlJc w:val="left"/>
      <w:pPr>
        <w:ind w:left="5510" w:hanging="360"/>
      </w:pPr>
      <w:rPr>
        <w:rFonts w:hint="default"/>
        <w:lang w:val="it-IT" w:eastAsia="en-US" w:bidi="ar-SA"/>
      </w:rPr>
    </w:lvl>
    <w:lvl w:ilvl="6" w:tplc="FD4E3F86">
      <w:numFmt w:val="bullet"/>
      <w:lvlText w:val="•"/>
      <w:lvlJc w:val="left"/>
      <w:pPr>
        <w:ind w:left="6424" w:hanging="360"/>
      </w:pPr>
      <w:rPr>
        <w:rFonts w:hint="default"/>
        <w:lang w:val="it-IT" w:eastAsia="en-US" w:bidi="ar-SA"/>
      </w:rPr>
    </w:lvl>
    <w:lvl w:ilvl="7" w:tplc="55B2DF6A">
      <w:numFmt w:val="bullet"/>
      <w:lvlText w:val="•"/>
      <w:lvlJc w:val="left"/>
      <w:pPr>
        <w:ind w:left="7338" w:hanging="360"/>
      </w:pPr>
      <w:rPr>
        <w:rFonts w:hint="default"/>
        <w:lang w:val="it-IT" w:eastAsia="en-US" w:bidi="ar-SA"/>
      </w:rPr>
    </w:lvl>
    <w:lvl w:ilvl="8" w:tplc="5F2EBE0E">
      <w:numFmt w:val="bullet"/>
      <w:lvlText w:val="•"/>
      <w:lvlJc w:val="left"/>
      <w:pPr>
        <w:ind w:left="8252" w:hanging="360"/>
      </w:pPr>
      <w:rPr>
        <w:rFonts w:hint="default"/>
        <w:lang w:val="it-IT" w:eastAsia="en-US" w:bidi="ar-SA"/>
      </w:rPr>
    </w:lvl>
  </w:abstractNum>
  <w:abstractNum w:abstractNumId="11" w15:restartNumberingAfterBreak="0">
    <w:nsid w:val="1C3B4A55"/>
    <w:multiLevelType w:val="hybridMultilevel"/>
    <w:tmpl w:val="4C3AAC20"/>
    <w:lvl w:ilvl="0" w:tplc="DF821D7C">
      <w:start w:val="1"/>
      <w:numFmt w:val="lowerRoman"/>
      <w:lvlText w:val="%1."/>
      <w:lvlJc w:val="right"/>
      <w:pPr>
        <w:ind w:left="720" w:hanging="360"/>
      </w:pPr>
      <w:rPr>
        <w:rFonts w:ascii="Gill Sans MT" w:hAnsi="Gill Sans MT" w:hint="default"/>
        <w:b w:val="0"/>
        <w:bCs w:val="0"/>
        <w:i w:val="0"/>
        <w:iCs w:val="0"/>
        <w:caps w:val="0"/>
        <w:strike w:val="0"/>
        <w:dstrike w:val="0"/>
        <w:vanish w:val="0"/>
        <w:color w:val="auto"/>
        <w:spacing w:val="-1"/>
        <w:w w:val="99"/>
        <w:kern w:val="22"/>
        <w:position w:val="0"/>
        <w:sz w:val="22"/>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DC4E5D"/>
    <w:multiLevelType w:val="hybridMultilevel"/>
    <w:tmpl w:val="6420B760"/>
    <w:lvl w:ilvl="0" w:tplc="0C9CF7B8">
      <w:start w:val="1"/>
      <w:numFmt w:val="bullet"/>
      <w:lvlText w:val=""/>
      <w:lvlJc w:val="left"/>
      <w:pPr>
        <w:ind w:left="720" w:hanging="360"/>
      </w:pPr>
      <w:rPr>
        <w:rFonts w:ascii="Wingdings" w:hAnsi="Wingdings" w:hint="default"/>
        <w:b w:val="0"/>
        <w:bCs w:val="0"/>
        <w:i w:val="0"/>
        <w:iCs w:val="0"/>
        <w:caps w:val="0"/>
        <w:strike w:val="0"/>
        <w:dstrike w:val="0"/>
        <w:vanish w:val="0"/>
        <w:color w:val="2F5496" w:themeColor="accent1" w:themeShade="BF"/>
        <w:spacing w:val="-1"/>
        <w:w w:val="99"/>
        <w:kern w:val="22"/>
        <w:position w:val="0"/>
        <w:sz w:val="22"/>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DF15D52"/>
    <w:multiLevelType w:val="hybridMultilevel"/>
    <w:tmpl w:val="DED04A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537A50"/>
    <w:multiLevelType w:val="hybridMultilevel"/>
    <w:tmpl w:val="454850E2"/>
    <w:lvl w:ilvl="0" w:tplc="F8EE8B58">
      <w:start w:val="1"/>
      <w:numFmt w:val="lowerRoman"/>
      <w:lvlText w:val="%1."/>
      <w:lvlJc w:val="right"/>
      <w:pPr>
        <w:ind w:left="720" w:hanging="360"/>
      </w:pPr>
      <w:rPr>
        <w:rFonts w:ascii="Calibri" w:hAnsi="Calibri" w:hint="default"/>
        <w:b w:val="0"/>
        <w:i w:val="0"/>
        <w:caps w:val="0"/>
        <w:strike w:val="0"/>
        <w:dstrike w:val="0"/>
        <w:vanish w:val="0"/>
        <w:color w:val="2F5496" w:themeColor="accent1" w:themeShade="BF"/>
        <w:spacing w:val="-1"/>
        <w:w w:val="99"/>
        <w:sz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C93304"/>
    <w:multiLevelType w:val="multilevel"/>
    <w:tmpl w:val="A934DAE2"/>
    <w:lvl w:ilvl="0">
      <w:start w:val="1"/>
      <w:numFmt w:val="decimal"/>
      <w:lvlText w:val="%1"/>
      <w:lvlJc w:val="left"/>
      <w:pPr>
        <w:ind w:left="645" w:hanging="432"/>
      </w:pPr>
      <w:rPr>
        <w:rFonts w:ascii="Calibri" w:eastAsia="Calibri" w:hAnsi="Calibri" w:cs="Calibri" w:hint="default"/>
        <w:b/>
        <w:bCs/>
        <w:i w:val="0"/>
        <w:iCs w:val="0"/>
        <w:spacing w:val="0"/>
        <w:w w:val="99"/>
        <w:sz w:val="28"/>
        <w:szCs w:val="28"/>
        <w:lang w:val="it-IT" w:eastAsia="en-US" w:bidi="ar-SA"/>
      </w:rPr>
    </w:lvl>
    <w:lvl w:ilvl="1">
      <w:start w:val="1"/>
      <w:numFmt w:val="decimal"/>
      <w:lvlText w:val="%1.%2"/>
      <w:lvlJc w:val="left"/>
      <w:pPr>
        <w:ind w:left="792" w:hanging="579"/>
      </w:pPr>
      <w:rPr>
        <w:rFonts w:ascii="Calibri" w:eastAsia="Calibri" w:hAnsi="Calibri" w:cs="Calibri" w:hint="default"/>
        <w:b/>
        <w:bCs/>
        <w:i w:val="0"/>
        <w:iCs w:val="0"/>
        <w:spacing w:val="-1"/>
        <w:w w:val="99"/>
        <w:sz w:val="28"/>
        <w:szCs w:val="28"/>
        <w:lang w:val="it-IT" w:eastAsia="en-US" w:bidi="ar-SA"/>
      </w:rPr>
    </w:lvl>
    <w:lvl w:ilvl="2">
      <w:start w:val="1"/>
      <w:numFmt w:val="decimal"/>
      <w:lvlText w:val="%3."/>
      <w:lvlJc w:val="left"/>
      <w:pPr>
        <w:ind w:left="933" w:hanging="360"/>
      </w:pPr>
      <w:rPr>
        <w:rFonts w:hint="default"/>
        <w:spacing w:val="-1"/>
        <w:w w:val="99"/>
        <w:lang w:val="it-IT" w:eastAsia="en-US" w:bidi="ar-SA"/>
      </w:rPr>
    </w:lvl>
    <w:lvl w:ilvl="3">
      <w:numFmt w:val="bullet"/>
      <w:lvlText w:val="•"/>
      <w:lvlJc w:val="left"/>
      <w:pPr>
        <w:ind w:left="2082" w:hanging="360"/>
      </w:pPr>
      <w:rPr>
        <w:rFonts w:hint="default"/>
        <w:lang w:val="it-IT" w:eastAsia="en-US" w:bidi="ar-SA"/>
      </w:rPr>
    </w:lvl>
    <w:lvl w:ilvl="4">
      <w:numFmt w:val="bullet"/>
      <w:lvlText w:val="•"/>
      <w:lvlJc w:val="left"/>
      <w:pPr>
        <w:ind w:left="3225" w:hanging="360"/>
      </w:pPr>
      <w:rPr>
        <w:rFonts w:hint="default"/>
        <w:lang w:val="it-IT" w:eastAsia="en-US" w:bidi="ar-SA"/>
      </w:rPr>
    </w:lvl>
    <w:lvl w:ilvl="5">
      <w:numFmt w:val="bullet"/>
      <w:lvlText w:val="•"/>
      <w:lvlJc w:val="left"/>
      <w:pPr>
        <w:ind w:left="4367" w:hanging="360"/>
      </w:pPr>
      <w:rPr>
        <w:rFonts w:hint="default"/>
        <w:lang w:val="it-IT" w:eastAsia="en-US" w:bidi="ar-SA"/>
      </w:rPr>
    </w:lvl>
    <w:lvl w:ilvl="6">
      <w:numFmt w:val="bullet"/>
      <w:lvlText w:val="•"/>
      <w:lvlJc w:val="left"/>
      <w:pPr>
        <w:ind w:left="5510" w:hanging="360"/>
      </w:pPr>
      <w:rPr>
        <w:rFonts w:hint="default"/>
        <w:lang w:val="it-IT" w:eastAsia="en-US" w:bidi="ar-SA"/>
      </w:rPr>
    </w:lvl>
    <w:lvl w:ilvl="7">
      <w:numFmt w:val="bullet"/>
      <w:lvlText w:val="•"/>
      <w:lvlJc w:val="left"/>
      <w:pPr>
        <w:ind w:left="6652" w:hanging="360"/>
      </w:pPr>
      <w:rPr>
        <w:rFonts w:hint="default"/>
        <w:lang w:val="it-IT" w:eastAsia="en-US" w:bidi="ar-SA"/>
      </w:rPr>
    </w:lvl>
    <w:lvl w:ilvl="8">
      <w:numFmt w:val="bullet"/>
      <w:lvlText w:val="•"/>
      <w:lvlJc w:val="left"/>
      <w:pPr>
        <w:ind w:left="7795" w:hanging="360"/>
      </w:pPr>
      <w:rPr>
        <w:rFonts w:hint="default"/>
        <w:lang w:val="it-IT" w:eastAsia="en-US" w:bidi="ar-SA"/>
      </w:rPr>
    </w:lvl>
  </w:abstractNum>
  <w:abstractNum w:abstractNumId="16" w15:restartNumberingAfterBreak="0">
    <w:nsid w:val="23F10C1B"/>
    <w:multiLevelType w:val="hybridMultilevel"/>
    <w:tmpl w:val="49768F82"/>
    <w:lvl w:ilvl="0" w:tplc="B3A8BB2A">
      <w:start w:val="1"/>
      <w:numFmt w:val="lowerLetter"/>
      <w:lvlText w:val="%1)"/>
      <w:lvlJc w:val="left"/>
      <w:pPr>
        <w:ind w:left="720" w:hanging="360"/>
      </w:pPr>
      <w:rPr>
        <w:rFonts w:ascii="Titillium Web" w:hAnsi="Titillium Web" w:hint="default"/>
        <w:b w:val="0"/>
        <w:i w:val="0"/>
        <w:caps w:val="0"/>
        <w:strike w:val="0"/>
        <w:dstrike w:val="0"/>
        <w:vanish w:val="0"/>
        <w:color w:val="auto"/>
        <w:spacing w:val="0"/>
        <w:w w:val="100"/>
        <w:position w:val="0"/>
        <w:sz w:val="1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4DD6E75"/>
    <w:multiLevelType w:val="hybridMultilevel"/>
    <w:tmpl w:val="862241F2"/>
    <w:lvl w:ilvl="0" w:tplc="FB603B8A">
      <w:start w:val="1"/>
      <w:numFmt w:val="bullet"/>
      <w:lvlText w:val=""/>
      <w:lvlJc w:val="left"/>
      <w:pPr>
        <w:ind w:left="720" w:hanging="360"/>
      </w:pPr>
      <w:rPr>
        <w:rFonts w:ascii="Wingdings" w:hAnsi="Wingdings" w:hint="default"/>
        <w:b w:val="0"/>
        <w:i w:val="0"/>
        <w:caps w:val="0"/>
        <w:strike w:val="0"/>
        <w:dstrike w:val="0"/>
        <w:vanish w:val="0"/>
        <w:color w:val="2F5496" w:themeColor="accent1" w:themeShade="BF"/>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75237F8"/>
    <w:multiLevelType w:val="hybridMultilevel"/>
    <w:tmpl w:val="E8D84E0E"/>
    <w:lvl w:ilvl="0" w:tplc="0C9CF7B8">
      <w:start w:val="1"/>
      <w:numFmt w:val="bullet"/>
      <w:lvlText w:val=""/>
      <w:lvlJc w:val="left"/>
      <w:pPr>
        <w:ind w:left="720" w:hanging="360"/>
      </w:pPr>
      <w:rPr>
        <w:rFonts w:ascii="Wingdings" w:hAnsi="Wingdings" w:hint="default"/>
        <w:b w:val="0"/>
        <w:i w:val="0"/>
        <w:caps w:val="0"/>
        <w:strike w:val="0"/>
        <w:dstrike w:val="0"/>
        <w:vanish w:val="0"/>
        <w:color w:val="2F5496" w:themeColor="accent1" w:themeShade="BF"/>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82D6F93"/>
    <w:multiLevelType w:val="hybridMultilevel"/>
    <w:tmpl w:val="35427BEE"/>
    <w:lvl w:ilvl="0" w:tplc="A31AC4A8">
      <w:start w:val="1"/>
      <w:numFmt w:val="bullet"/>
      <w:lvlText w:val=""/>
      <w:lvlJc w:val="left"/>
      <w:pPr>
        <w:ind w:left="720" w:hanging="360"/>
      </w:pPr>
      <w:rPr>
        <w:rFonts w:ascii="Symbol" w:hAnsi="Symbol" w:hint="default"/>
        <w:b w:val="0"/>
        <w:i w:val="0"/>
        <w:caps w:val="0"/>
        <w:strike w:val="0"/>
        <w:dstrike w:val="0"/>
        <w:vanish w:val="0"/>
        <w:color w:val="2F5496" w:themeColor="accent1" w:themeShade="BF"/>
        <w:sz w:val="1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B103A50"/>
    <w:multiLevelType w:val="hybridMultilevel"/>
    <w:tmpl w:val="5A5281C2"/>
    <w:lvl w:ilvl="0" w:tplc="5E32251E">
      <w:start w:val="1"/>
      <w:numFmt w:val="lowerRoman"/>
      <w:lvlText w:val="%1."/>
      <w:lvlJc w:val="right"/>
      <w:pPr>
        <w:ind w:left="720" w:hanging="360"/>
      </w:pPr>
      <w:rPr>
        <w:rFonts w:ascii="Calibri" w:hAnsi="Calibri" w:hint="default"/>
        <w:b w:val="0"/>
        <w:i w:val="0"/>
        <w:caps w:val="0"/>
        <w:strike w:val="0"/>
        <w:dstrike w:val="0"/>
        <w:vanish w:val="0"/>
        <w:color w:val="2F5496" w:themeColor="accent1" w:themeShade="BF"/>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CD230D9"/>
    <w:multiLevelType w:val="hybridMultilevel"/>
    <w:tmpl w:val="F9DAD354"/>
    <w:lvl w:ilvl="0" w:tplc="7C880B9E">
      <w:start w:val="1"/>
      <w:numFmt w:val="lowerLetter"/>
      <w:lvlText w:val="%1)"/>
      <w:lvlJc w:val="left"/>
      <w:pPr>
        <w:ind w:left="720" w:hanging="360"/>
      </w:pPr>
      <w:rPr>
        <w:rFonts w:ascii="Titillium Web" w:hAnsi="Titillium Web" w:hint="default"/>
        <w:b w:val="0"/>
        <w:i w:val="0"/>
        <w:caps w:val="0"/>
        <w:strike w:val="0"/>
        <w:dstrike w:val="0"/>
        <w:vanish w:val="0"/>
        <w:color w:val="2F5496" w:themeColor="accent1" w:themeShade="BF"/>
        <w:spacing w:val="0"/>
        <w:w w:val="100"/>
        <w:position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CD81698"/>
    <w:multiLevelType w:val="hybridMultilevel"/>
    <w:tmpl w:val="FEEC6662"/>
    <w:lvl w:ilvl="0" w:tplc="C0CA778C">
      <w:start w:val="1"/>
      <w:numFmt w:val="bullet"/>
      <w:lvlText w:val=""/>
      <w:lvlJc w:val="left"/>
      <w:pPr>
        <w:ind w:left="720" w:hanging="360"/>
      </w:pPr>
      <w:rPr>
        <w:rFonts w:ascii="Wingdings" w:hAnsi="Wingdings" w:hint="default"/>
        <w:b w:val="0"/>
        <w:i w:val="0"/>
        <w:caps w:val="0"/>
        <w:strike w:val="0"/>
        <w:dstrike w:val="0"/>
        <w:vanish w:val="0"/>
        <w:color w:val="2F5496" w:themeColor="accent1" w:themeShade="BF"/>
        <w:sz w:val="3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FE40B26"/>
    <w:multiLevelType w:val="hybridMultilevel"/>
    <w:tmpl w:val="B1EC50AC"/>
    <w:lvl w:ilvl="0" w:tplc="0C9CF7B8">
      <w:start w:val="1"/>
      <w:numFmt w:val="bullet"/>
      <w:lvlText w:val=""/>
      <w:lvlJc w:val="left"/>
      <w:pPr>
        <w:ind w:left="720" w:hanging="360"/>
      </w:pPr>
      <w:rPr>
        <w:rFonts w:ascii="Wingdings" w:hAnsi="Wingdings" w:hint="default"/>
        <w:b w:val="0"/>
        <w:i w:val="0"/>
        <w:caps w:val="0"/>
        <w:strike w:val="0"/>
        <w:dstrike w:val="0"/>
        <w:vanish w:val="0"/>
        <w:color w:val="2F5496" w:themeColor="accent1" w:themeShade="BF"/>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0170CDD"/>
    <w:multiLevelType w:val="hybridMultilevel"/>
    <w:tmpl w:val="4924664A"/>
    <w:lvl w:ilvl="0" w:tplc="8742550C">
      <w:start w:val="1"/>
      <w:numFmt w:val="lowerRoman"/>
      <w:lvlText w:val="%1."/>
      <w:lvlJc w:val="right"/>
      <w:pPr>
        <w:ind w:left="720" w:hanging="360"/>
      </w:pPr>
      <w:rPr>
        <w:rFonts w:ascii="Gill Sans MT" w:hAnsi="Gill Sans MT" w:hint="default"/>
        <w:b w:val="0"/>
        <w:bCs w:val="0"/>
        <w:i w:val="0"/>
        <w:iCs w:val="0"/>
        <w:caps w:val="0"/>
        <w:strike w:val="0"/>
        <w:dstrike w:val="0"/>
        <w:vanish w:val="0"/>
        <w:color w:val="2F5496" w:themeColor="accent1" w:themeShade="BF"/>
        <w:spacing w:val="-1"/>
        <w:w w:val="99"/>
        <w:kern w:val="22"/>
        <w:position w:val="0"/>
        <w:sz w:val="22"/>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02A08C5"/>
    <w:multiLevelType w:val="hybridMultilevel"/>
    <w:tmpl w:val="2E5609CA"/>
    <w:lvl w:ilvl="0" w:tplc="B754B930">
      <w:start w:val="1"/>
      <w:numFmt w:val="lowerRoman"/>
      <w:lvlText w:val="%1."/>
      <w:lvlJc w:val="left"/>
      <w:pPr>
        <w:ind w:left="720" w:hanging="360"/>
      </w:pPr>
      <w:rPr>
        <w:rFonts w:ascii="Calibri" w:hAnsi="Calibri" w:cs="Times New Roman" w:hint="default"/>
        <w:b w:val="0"/>
        <w:i w:val="0"/>
        <w:caps w:val="0"/>
        <w:strike w:val="0"/>
        <w:dstrike w:val="0"/>
        <w:vanish w:val="0"/>
        <w:color w:val="2F5496" w:themeColor="accent1" w:themeShade="BF"/>
        <w:w w:val="91"/>
        <w:sz w:val="22"/>
        <w:szCs w:val="22"/>
        <w:vertAlign w:val="baseline"/>
      </w:rPr>
    </w:lvl>
    <w:lvl w:ilvl="1" w:tplc="4D0E6F60">
      <w:start w:val="1"/>
      <w:numFmt w:val="lowerRoman"/>
      <w:lvlText w:val="%2)"/>
      <w:lvlJc w:val="left"/>
      <w:pPr>
        <w:ind w:left="1800" w:hanging="720"/>
      </w:pPr>
      <w:rPr>
        <w:rFonts w:hint="default"/>
      </w:rPr>
    </w:lvl>
    <w:lvl w:ilvl="2" w:tplc="0ADE4E1E">
      <w:start w:val="1"/>
      <w:numFmt w:val="lowerLetter"/>
      <w:lvlText w:val="%3)"/>
      <w:lvlJc w:val="left"/>
      <w:pPr>
        <w:ind w:left="2340" w:hanging="360"/>
      </w:pPr>
      <w:rPr>
        <w:rFonts w:hint="default"/>
      </w:r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2040142"/>
    <w:multiLevelType w:val="hybridMultilevel"/>
    <w:tmpl w:val="44F872EE"/>
    <w:lvl w:ilvl="0" w:tplc="17B0276A">
      <w:start w:val="1"/>
      <w:numFmt w:val="lowerLetter"/>
      <w:lvlText w:val="%1)"/>
      <w:lvlJc w:val="left"/>
      <w:pPr>
        <w:ind w:left="720" w:hanging="360"/>
      </w:pPr>
      <w:rPr>
        <w:rFonts w:ascii="Calibri" w:hAnsi="Calibri" w:hint="default"/>
        <w:b w:val="0"/>
        <w:i w:val="0"/>
        <w:caps w:val="0"/>
        <w:strike w:val="0"/>
        <w:dstrike w:val="0"/>
        <w:vanish w:val="0"/>
        <w:color w:val="2F5496" w:themeColor="accent1" w:themeShade="BF"/>
        <w:spacing w:val="0"/>
        <w:w w:val="100"/>
        <w:position w:val="0"/>
        <w:sz w:val="22"/>
        <w:szCs w:val="15"/>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30A449A"/>
    <w:multiLevelType w:val="hybridMultilevel"/>
    <w:tmpl w:val="09D21CA8"/>
    <w:lvl w:ilvl="0" w:tplc="0C9CF7B8">
      <w:start w:val="1"/>
      <w:numFmt w:val="bullet"/>
      <w:lvlText w:val=""/>
      <w:lvlJc w:val="left"/>
      <w:pPr>
        <w:ind w:left="931" w:hanging="360"/>
      </w:pPr>
      <w:rPr>
        <w:rFonts w:ascii="Wingdings" w:hAnsi="Wingdings" w:hint="default"/>
        <w:b w:val="0"/>
        <w:bCs w:val="0"/>
        <w:i w:val="0"/>
        <w:iCs w:val="0"/>
        <w:caps w:val="0"/>
        <w:strike w:val="0"/>
        <w:dstrike w:val="0"/>
        <w:vanish w:val="0"/>
        <w:color w:val="2F5496" w:themeColor="accent1" w:themeShade="BF"/>
        <w:spacing w:val="0"/>
        <w:w w:val="99"/>
        <w:sz w:val="22"/>
        <w:szCs w:val="24"/>
        <w:vertAlign w:val="baseline"/>
        <w:lang w:val="it-IT" w:eastAsia="en-US" w:bidi="ar-SA"/>
      </w:rPr>
    </w:lvl>
    <w:lvl w:ilvl="1" w:tplc="FFFFFFFF">
      <w:numFmt w:val="bullet"/>
      <w:lvlText w:val="•"/>
      <w:lvlJc w:val="left"/>
      <w:pPr>
        <w:ind w:left="1854" w:hanging="360"/>
      </w:pPr>
      <w:rPr>
        <w:rFonts w:hint="default"/>
        <w:lang w:val="it-IT" w:eastAsia="en-US" w:bidi="ar-SA"/>
      </w:rPr>
    </w:lvl>
    <w:lvl w:ilvl="2" w:tplc="FFFFFFFF">
      <w:numFmt w:val="bullet"/>
      <w:lvlText w:val="•"/>
      <w:lvlJc w:val="left"/>
      <w:pPr>
        <w:ind w:left="2768" w:hanging="360"/>
      </w:pPr>
      <w:rPr>
        <w:rFonts w:hint="default"/>
        <w:lang w:val="it-IT" w:eastAsia="en-US" w:bidi="ar-SA"/>
      </w:rPr>
    </w:lvl>
    <w:lvl w:ilvl="3" w:tplc="FFFFFFFF">
      <w:numFmt w:val="bullet"/>
      <w:lvlText w:val="•"/>
      <w:lvlJc w:val="left"/>
      <w:pPr>
        <w:ind w:left="3682" w:hanging="360"/>
      </w:pPr>
      <w:rPr>
        <w:rFonts w:hint="default"/>
        <w:lang w:val="it-IT" w:eastAsia="en-US" w:bidi="ar-SA"/>
      </w:rPr>
    </w:lvl>
    <w:lvl w:ilvl="4" w:tplc="FFFFFFFF">
      <w:numFmt w:val="bullet"/>
      <w:lvlText w:val="•"/>
      <w:lvlJc w:val="left"/>
      <w:pPr>
        <w:ind w:left="4596" w:hanging="360"/>
      </w:pPr>
      <w:rPr>
        <w:rFonts w:hint="default"/>
        <w:lang w:val="it-IT" w:eastAsia="en-US" w:bidi="ar-SA"/>
      </w:rPr>
    </w:lvl>
    <w:lvl w:ilvl="5" w:tplc="FFFFFFFF">
      <w:numFmt w:val="bullet"/>
      <w:lvlText w:val="•"/>
      <w:lvlJc w:val="left"/>
      <w:pPr>
        <w:ind w:left="5510" w:hanging="360"/>
      </w:pPr>
      <w:rPr>
        <w:rFonts w:hint="default"/>
        <w:lang w:val="it-IT" w:eastAsia="en-US" w:bidi="ar-SA"/>
      </w:rPr>
    </w:lvl>
    <w:lvl w:ilvl="6" w:tplc="FFFFFFFF">
      <w:numFmt w:val="bullet"/>
      <w:lvlText w:val="•"/>
      <w:lvlJc w:val="left"/>
      <w:pPr>
        <w:ind w:left="6424" w:hanging="360"/>
      </w:pPr>
      <w:rPr>
        <w:rFonts w:hint="default"/>
        <w:lang w:val="it-IT" w:eastAsia="en-US" w:bidi="ar-SA"/>
      </w:rPr>
    </w:lvl>
    <w:lvl w:ilvl="7" w:tplc="FFFFFFFF">
      <w:numFmt w:val="bullet"/>
      <w:lvlText w:val="•"/>
      <w:lvlJc w:val="left"/>
      <w:pPr>
        <w:ind w:left="7338" w:hanging="360"/>
      </w:pPr>
      <w:rPr>
        <w:rFonts w:hint="default"/>
        <w:lang w:val="it-IT" w:eastAsia="en-US" w:bidi="ar-SA"/>
      </w:rPr>
    </w:lvl>
    <w:lvl w:ilvl="8" w:tplc="FFFFFFFF">
      <w:numFmt w:val="bullet"/>
      <w:lvlText w:val="•"/>
      <w:lvlJc w:val="left"/>
      <w:pPr>
        <w:ind w:left="8252" w:hanging="360"/>
      </w:pPr>
      <w:rPr>
        <w:rFonts w:hint="default"/>
        <w:lang w:val="it-IT" w:eastAsia="en-US" w:bidi="ar-SA"/>
      </w:rPr>
    </w:lvl>
  </w:abstractNum>
  <w:abstractNum w:abstractNumId="28" w15:restartNumberingAfterBreak="0">
    <w:nsid w:val="33A8695F"/>
    <w:multiLevelType w:val="hybridMultilevel"/>
    <w:tmpl w:val="90DCC2D2"/>
    <w:lvl w:ilvl="0" w:tplc="521082EE">
      <w:start w:val="1"/>
      <w:numFmt w:val="decimal"/>
      <w:lvlText w:val="%1."/>
      <w:lvlJc w:val="left"/>
      <w:pPr>
        <w:ind w:left="720" w:hanging="360"/>
      </w:pPr>
      <w:rPr>
        <w:rFonts w:ascii="Calibri" w:hAnsi="Calibri" w:hint="default"/>
        <w:b w:val="0"/>
        <w:i w:val="0"/>
        <w:caps w:val="0"/>
        <w:strike w:val="0"/>
        <w:dstrike w:val="0"/>
        <w:vanish w:val="0"/>
        <w:color w:val="2F5496" w:themeColor="accent1" w:themeShade="BF"/>
        <w:w w:val="91"/>
        <w:sz w:val="22"/>
        <w:szCs w:val="22"/>
        <w:vertAlign w:val="baseline"/>
      </w:rPr>
    </w:lvl>
    <w:lvl w:ilvl="1" w:tplc="8E585774">
      <w:start w:val="1"/>
      <w:numFmt w:val="lowerLetter"/>
      <w:lvlText w:val="%2)"/>
      <w:lvlJc w:val="left"/>
      <w:pPr>
        <w:ind w:left="1790" w:hanging="71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40A2664"/>
    <w:multiLevelType w:val="hybridMultilevel"/>
    <w:tmpl w:val="FC725462"/>
    <w:lvl w:ilvl="0" w:tplc="8E0A8C02">
      <w:numFmt w:val="bullet"/>
      <w:lvlText w:val=""/>
      <w:lvlJc w:val="left"/>
      <w:pPr>
        <w:ind w:left="931" w:hanging="360"/>
      </w:pPr>
      <w:rPr>
        <w:rFonts w:ascii="Wingdings" w:eastAsia="Wingdings" w:hAnsi="Wingdings" w:cs="Wingdings" w:hint="default"/>
        <w:b w:val="0"/>
        <w:bCs w:val="0"/>
        <w:i w:val="0"/>
        <w:iCs w:val="0"/>
        <w:spacing w:val="0"/>
        <w:w w:val="99"/>
        <w:sz w:val="24"/>
        <w:szCs w:val="24"/>
        <w:lang w:val="it-IT" w:eastAsia="en-US" w:bidi="ar-SA"/>
      </w:rPr>
    </w:lvl>
    <w:lvl w:ilvl="1" w:tplc="B05AFA48">
      <w:numFmt w:val="bullet"/>
      <w:lvlText w:val="•"/>
      <w:lvlJc w:val="left"/>
      <w:pPr>
        <w:ind w:left="1854" w:hanging="360"/>
      </w:pPr>
      <w:rPr>
        <w:rFonts w:hint="default"/>
        <w:lang w:val="it-IT" w:eastAsia="en-US" w:bidi="ar-SA"/>
      </w:rPr>
    </w:lvl>
    <w:lvl w:ilvl="2" w:tplc="293A0C4C">
      <w:numFmt w:val="bullet"/>
      <w:lvlText w:val="•"/>
      <w:lvlJc w:val="left"/>
      <w:pPr>
        <w:ind w:left="2768" w:hanging="360"/>
      </w:pPr>
      <w:rPr>
        <w:rFonts w:hint="default"/>
        <w:lang w:val="it-IT" w:eastAsia="en-US" w:bidi="ar-SA"/>
      </w:rPr>
    </w:lvl>
    <w:lvl w:ilvl="3" w:tplc="13B0A102">
      <w:numFmt w:val="bullet"/>
      <w:lvlText w:val="•"/>
      <w:lvlJc w:val="left"/>
      <w:pPr>
        <w:ind w:left="3682" w:hanging="360"/>
      </w:pPr>
      <w:rPr>
        <w:rFonts w:hint="default"/>
        <w:lang w:val="it-IT" w:eastAsia="en-US" w:bidi="ar-SA"/>
      </w:rPr>
    </w:lvl>
    <w:lvl w:ilvl="4" w:tplc="62608C3C">
      <w:numFmt w:val="bullet"/>
      <w:lvlText w:val="•"/>
      <w:lvlJc w:val="left"/>
      <w:pPr>
        <w:ind w:left="4596" w:hanging="360"/>
      </w:pPr>
      <w:rPr>
        <w:rFonts w:hint="default"/>
        <w:lang w:val="it-IT" w:eastAsia="en-US" w:bidi="ar-SA"/>
      </w:rPr>
    </w:lvl>
    <w:lvl w:ilvl="5" w:tplc="4B5A2D8C">
      <w:numFmt w:val="bullet"/>
      <w:lvlText w:val="•"/>
      <w:lvlJc w:val="left"/>
      <w:pPr>
        <w:ind w:left="5510" w:hanging="360"/>
      </w:pPr>
      <w:rPr>
        <w:rFonts w:hint="default"/>
        <w:lang w:val="it-IT" w:eastAsia="en-US" w:bidi="ar-SA"/>
      </w:rPr>
    </w:lvl>
    <w:lvl w:ilvl="6" w:tplc="DBFE2A2A">
      <w:numFmt w:val="bullet"/>
      <w:lvlText w:val="•"/>
      <w:lvlJc w:val="left"/>
      <w:pPr>
        <w:ind w:left="6424" w:hanging="360"/>
      </w:pPr>
      <w:rPr>
        <w:rFonts w:hint="default"/>
        <w:lang w:val="it-IT" w:eastAsia="en-US" w:bidi="ar-SA"/>
      </w:rPr>
    </w:lvl>
    <w:lvl w:ilvl="7" w:tplc="1A048966">
      <w:numFmt w:val="bullet"/>
      <w:lvlText w:val="•"/>
      <w:lvlJc w:val="left"/>
      <w:pPr>
        <w:ind w:left="7338" w:hanging="360"/>
      </w:pPr>
      <w:rPr>
        <w:rFonts w:hint="default"/>
        <w:lang w:val="it-IT" w:eastAsia="en-US" w:bidi="ar-SA"/>
      </w:rPr>
    </w:lvl>
    <w:lvl w:ilvl="8" w:tplc="A48E5050">
      <w:numFmt w:val="bullet"/>
      <w:lvlText w:val="•"/>
      <w:lvlJc w:val="left"/>
      <w:pPr>
        <w:ind w:left="8252" w:hanging="360"/>
      </w:pPr>
      <w:rPr>
        <w:rFonts w:hint="default"/>
        <w:lang w:val="it-IT" w:eastAsia="en-US" w:bidi="ar-SA"/>
      </w:rPr>
    </w:lvl>
  </w:abstractNum>
  <w:abstractNum w:abstractNumId="30" w15:restartNumberingAfterBreak="0">
    <w:nsid w:val="3B446CCE"/>
    <w:multiLevelType w:val="hybridMultilevel"/>
    <w:tmpl w:val="4AEEF194"/>
    <w:lvl w:ilvl="0" w:tplc="E58609CA">
      <w:start w:val="1"/>
      <w:numFmt w:val="lowerRoman"/>
      <w:lvlText w:val="%1."/>
      <w:lvlJc w:val="right"/>
      <w:pPr>
        <w:ind w:left="720" w:hanging="360"/>
      </w:pPr>
      <w:rPr>
        <w:rFonts w:ascii="Calibri" w:hAnsi="Calibri" w:hint="default"/>
        <w:b w:val="0"/>
        <w:i w:val="0"/>
        <w:caps w:val="0"/>
        <w:strike w:val="0"/>
        <w:dstrike w:val="0"/>
        <w:vanish w:val="0"/>
        <w:color w:val="2F5496" w:themeColor="accent1" w:themeShade="BF"/>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C24664A"/>
    <w:multiLevelType w:val="hybridMultilevel"/>
    <w:tmpl w:val="0B785558"/>
    <w:lvl w:ilvl="0" w:tplc="0C9CF7B8">
      <w:start w:val="1"/>
      <w:numFmt w:val="bullet"/>
      <w:lvlText w:val=""/>
      <w:lvlJc w:val="left"/>
      <w:pPr>
        <w:ind w:left="720" w:hanging="360"/>
      </w:pPr>
      <w:rPr>
        <w:rFonts w:ascii="Wingdings" w:hAnsi="Wingdings" w:hint="default"/>
        <w:b w:val="0"/>
        <w:bCs w:val="0"/>
        <w:i w:val="0"/>
        <w:iCs w:val="0"/>
        <w:caps w:val="0"/>
        <w:strike w:val="0"/>
        <w:dstrike w:val="0"/>
        <w:vanish w:val="0"/>
        <w:color w:val="2F5496" w:themeColor="accent1" w:themeShade="BF"/>
        <w:spacing w:val="-1"/>
        <w:w w:val="99"/>
        <w:kern w:val="22"/>
        <w:position w:val="0"/>
        <w:sz w:val="22"/>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CC801F9"/>
    <w:multiLevelType w:val="hybridMultilevel"/>
    <w:tmpl w:val="8238305E"/>
    <w:lvl w:ilvl="0" w:tplc="8742550C">
      <w:start w:val="1"/>
      <w:numFmt w:val="lowerRoman"/>
      <w:lvlText w:val="%1."/>
      <w:lvlJc w:val="right"/>
      <w:pPr>
        <w:ind w:left="720" w:hanging="360"/>
      </w:pPr>
      <w:rPr>
        <w:rFonts w:ascii="Gill Sans MT" w:hAnsi="Gill Sans MT" w:hint="default"/>
        <w:b w:val="0"/>
        <w:bCs w:val="0"/>
        <w:i w:val="0"/>
        <w:iCs w:val="0"/>
        <w:caps w:val="0"/>
        <w:strike w:val="0"/>
        <w:dstrike w:val="0"/>
        <w:vanish w:val="0"/>
        <w:color w:val="2F5496" w:themeColor="accent1" w:themeShade="BF"/>
        <w:spacing w:val="-1"/>
        <w:w w:val="99"/>
        <w:kern w:val="22"/>
        <w:position w:val="0"/>
        <w:sz w:val="22"/>
        <w:szCs w:val="16"/>
        <w:vertAlign w:val="baseline"/>
        <w:lang w:val="it-IT" w:eastAsia="en-US" w:bidi="ar-SA"/>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D1A5CD2"/>
    <w:multiLevelType w:val="hybridMultilevel"/>
    <w:tmpl w:val="3DCC0B56"/>
    <w:lvl w:ilvl="0" w:tplc="A31AC4A8">
      <w:start w:val="1"/>
      <w:numFmt w:val="bullet"/>
      <w:lvlText w:val=""/>
      <w:lvlJc w:val="left"/>
      <w:pPr>
        <w:ind w:left="720" w:hanging="360"/>
      </w:pPr>
      <w:rPr>
        <w:rFonts w:ascii="Symbol" w:hAnsi="Symbol" w:hint="default"/>
        <w:b w:val="0"/>
        <w:i w:val="0"/>
        <w:caps w:val="0"/>
        <w:strike w:val="0"/>
        <w:dstrike w:val="0"/>
        <w:vanish w:val="0"/>
        <w:color w:val="2F5496" w:themeColor="accent1" w:themeShade="BF"/>
        <w:sz w:val="1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3DC62447"/>
    <w:multiLevelType w:val="hybridMultilevel"/>
    <w:tmpl w:val="CC6CD6F4"/>
    <w:lvl w:ilvl="0" w:tplc="8742550C">
      <w:start w:val="1"/>
      <w:numFmt w:val="lowerRoman"/>
      <w:lvlText w:val="%1."/>
      <w:lvlJc w:val="right"/>
      <w:pPr>
        <w:ind w:left="720" w:hanging="360"/>
      </w:pPr>
      <w:rPr>
        <w:rFonts w:ascii="Gill Sans MT" w:hAnsi="Gill Sans MT" w:hint="default"/>
        <w:b w:val="0"/>
        <w:bCs w:val="0"/>
        <w:i w:val="0"/>
        <w:iCs w:val="0"/>
        <w:caps w:val="0"/>
        <w:strike w:val="0"/>
        <w:dstrike w:val="0"/>
        <w:vanish w:val="0"/>
        <w:color w:val="2F5496" w:themeColor="accent1" w:themeShade="BF"/>
        <w:spacing w:val="-1"/>
        <w:w w:val="99"/>
        <w:kern w:val="22"/>
        <w:position w:val="0"/>
        <w:sz w:val="22"/>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29A5619"/>
    <w:multiLevelType w:val="hybridMultilevel"/>
    <w:tmpl w:val="0F64C67C"/>
    <w:lvl w:ilvl="0" w:tplc="A31AC4A8">
      <w:start w:val="1"/>
      <w:numFmt w:val="bullet"/>
      <w:lvlText w:val=""/>
      <w:lvlJc w:val="left"/>
      <w:pPr>
        <w:ind w:left="720" w:hanging="360"/>
      </w:pPr>
      <w:rPr>
        <w:rFonts w:ascii="Symbol" w:hAnsi="Symbol" w:hint="default"/>
        <w:b w:val="0"/>
        <w:i w:val="0"/>
        <w:caps w:val="0"/>
        <w:strike w:val="0"/>
        <w:dstrike w:val="0"/>
        <w:vanish w:val="0"/>
        <w:color w:val="2F5496" w:themeColor="accent1" w:themeShade="BF"/>
        <w:sz w:val="18"/>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2DE7B8E"/>
    <w:multiLevelType w:val="hybridMultilevel"/>
    <w:tmpl w:val="987A183A"/>
    <w:lvl w:ilvl="0" w:tplc="A31AC4A8">
      <w:start w:val="1"/>
      <w:numFmt w:val="bullet"/>
      <w:lvlText w:val=""/>
      <w:lvlJc w:val="left"/>
      <w:pPr>
        <w:ind w:left="720" w:hanging="360"/>
      </w:pPr>
      <w:rPr>
        <w:rFonts w:ascii="Symbol" w:hAnsi="Symbol" w:hint="default"/>
        <w:b w:val="0"/>
        <w:i w:val="0"/>
        <w:caps w:val="0"/>
        <w:strike w:val="0"/>
        <w:dstrike w:val="0"/>
        <w:vanish w:val="0"/>
        <w:color w:val="2F5496" w:themeColor="accent1" w:themeShade="BF"/>
        <w:sz w:val="1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3014BFC"/>
    <w:multiLevelType w:val="hybridMultilevel"/>
    <w:tmpl w:val="B16CF48A"/>
    <w:lvl w:ilvl="0" w:tplc="A31AC4A8">
      <w:start w:val="1"/>
      <w:numFmt w:val="bullet"/>
      <w:lvlText w:val=""/>
      <w:lvlJc w:val="left"/>
      <w:pPr>
        <w:ind w:left="720" w:hanging="360"/>
      </w:pPr>
      <w:rPr>
        <w:rFonts w:ascii="Symbol" w:hAnsi="Symbol" w:hint="default"/>
        <w:b w:val="0"/>
        <w:i w:val="0"/>
        <w:caps w:val="0"/>
        <w:strike w:val="0"/>
        <w:dstrike w:val="0"/>
        <w:vanish w:val="0"/>
        <w:color w:val="2F5496" w:themeColor="accent1" w:themeShade="BF"/>
        <w:sz w:val="1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44727F9C"/>
    <w:multiLevelType w:val="hybridMultilevel"/>
    <w:tmpl w:val="B8288C0C"/>
    <w:lvl w:ilvl="0" w:tplc="0A2EDB4C">
      <w:start w:val="1"/>
      <w:numFmt w:val="decimal"/>
      <w:lvlText w:val="%1."/>
      <w:lvlJc w:val="left"/>
      <w:pPr>
        <w:ind w:left="720" w:hanging="360"/>
      </w:pPr>
      <w:rPr>
        <w:rFonts w:ascii="Titillium Web" w:hAnsi="Titillium Web" w:hint="default"/>
        <w:b/>
        <w:i w:val="0"/>
        <w:caps w:val="0"/>
        <w:strike w:val="0"/>
        <w:dstrike w:val="0"/>
        <w:vanish w:val="0"/>
        <w:color w:val="2F5496" w:themeColor="accent1" w:themeShade="BF"/>
        <w:spacing w:val="0"/>
        <w:w w:val="100"/>
        <w:position w:val="0"/>
        <w:sz w:val="20"/>
        <w:szCs w:val="20"/>
        <w:u w:color="FFFFFF" w:themeColor="background1"/>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46237180"/>
    <w:multiLevelType w:val="hybridMultilevel"/>
    <w:tmpl w:val="1772BE6A"/>
    <w:lvl w:ilvl="0" w:tplc="F8EE8B58">
      <w:start w:val="1"/>
      <w:numFmt w:val="lowerRoman"/>
      <w:lvlText w:val="%1."/>
      <w:lvlJc w:val="right"/>
      <w:pPr>
        <w:ind w:left="720" w:hanging="360"/>
      </w:pPr>
      <w:rPr>
        <w:rFonts w:ascii="Calibri" w:hAnsi="Calibri" w:hint="default"/>
        <w:b w:val="0"/>
        <w:i w:val="0"/>
        <w:caps w:val="0"/>
        <w:strike w:val="0"/>
        <w:dstrike w:val="0"/>
        <w:vanish w:val="0"/>
        <w:color w:val="2F5496" w:themeColor="accent1" w:themeShade="BF"/>
        <w:spacing w:val="-1"/>
        <w:w w:val="99"/>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70F3C23"/>
    <w:multiLevelType w:val="hybridMultilevel"/>
    <w:tmpl w:val="895C2A7C"/>
    <w:lvl w:ilvl="0" w:tplc="A31AC4A8">
      <w:start w:val="1"/>
      <w:numFmt w:val="bullet"/>
      <w:lvlText w:val=""/>
      <w:lvlJc w:val="left"/>
      <w:pPr>
        <w:ind w:left="720" w:hanging="360"/>
      </w:pPr>
      <w:rPr>
        <w:rFonts w:ascii="Symbol" w:hAnsi="Symbol" w:hint="default"/>
        <w:b w:val="0"/>
        <w:i w:val="0"/>
        <w:caps w:val="0"/>
        <w:strike w:val="0"/>
        <w:dstrike w:val="0"/>
        <w:vanish w:val="0"/>
        <w:color w:val="2F5496" w:themeColor="accent1" w:themeShade="BF"/>
        <w:sz w:val="1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71B1231"/>
    <w:multiLevelType w:val="hybridMultilevel"/>
    <w:tmpl w:val="F86624D2"/>
    <w:lvl w:ilvl="0" w:tplc="D9BCB850">
      <w:start w:val="1"/>
      <w:numFmt w:val="bullet"/>
      <w:lvlText w:val=""/>
      <w:lvlJc w:val="left"/>
      <w:pPr>
        <w:ind w:left="720" w:hanging="360"/>
      </w:pPr>
      <w:rPr>
        <w:rFonts w:ascii="Wingdings" w:hAnsi="Wingdings" w:hint="default"/>
        <w:b w:val="0"/>
        <w:i w:val="0"/>
        <w:caps w:val="0"/>
        <w:strike w:val="0"/>
        <w:dstrike w:val="0"/>
        <w:vanish w:val="0"/>
        <w:color w:val="2F5496" w:themeColor="accent1" w:themeShade="BF"/>
        <w:sz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A166483"/>
    <w:multiLevelType w:val="hybridMultilevel"/>
    <w:tmpl w:val="94608CBA"/>
    <w:lvl w:ilvl="0" w:tplc="CAE08576">
      <w:start w:val="1"/>
      <w:numFmt w:val="decimal"/>
      <w:lvlText w:val="%1."/>
      <w:lvlJc w:val="right"/>
      <w:pPr>
        <w:ind w:left="720" w:hanging="360"/>
      </w:pPr>
      <w:rPr>
        <w:rFonts w:ascii="Calibri" w:hAnsi="Calibri" w:hint="default"/>
        <w:b w:val="0"/>
        <w:i w:val="0"/>
        <w:caps w:val="0"/>
        <w:strike w:val="0"/>
        <w:dstrike w:val="0"/>
        <w:vanish w:val="0"/>
        <w:color w:val="2F5496" w:themeColor="accent1" w:themeShade="BF"/>
        <w:spacing w:val="-1"/>
        <w:w w:val="99"/>
        <w:position w:val="0"/>
        <w:sz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AFD1C4F"/>
    <w:multiLevelType w:val="hybridMultilevel"/>
    <w:tmpl w:val="815AC936"/>
    <w:lvl w:ilvl="0" w:tplc="FB603B8A">
      <w:start w:val="1"/>
      <w:numFmt w:val="bullet"/>
      <w:lvlText w:val=""/>
      <w:lvlJc w:val="left"/>
      <w:pPr>
        <w:ind w:left="720" w:hanging="360"/>
      </w:pPr>
      <w:rPr>
        <w:rFonts w:ascii="Wingdings" w:hAnsi="Wingdings" w:hint="default"/>
        <w:b w:val="0"/>
        <w:i w:val="0"/>
        <w:caps w:val="0"/>
        <w:strike w:val="0"/>
        <w:dstrike w:val="0"/>
        <w:vanish w:val="0"/>
        <w:color w:val="2F5496" w:themeColor="accent1" w:themeShade="BF"/>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D5D2B6A"/>
    <w:multiLevelType w:val="hybridMultilevel"/>
    <w:tmpl w:val="7FCE7090"/>
    <w:lvl w:ilvl="0" w:tplc="A31AC4A8">
      <w:start w:val="1"/>
      <w:numFmt w:val="bullet"/>
      <w:lvlText w:val=""/>
      <w:lvlJc w:val="left"/>
      <w:pPr>
        <w:ind w:left="720" w:hanging="360"/>
      </w:pPr>
      <w:rPr>
        <w:rFonts w:ascii="Symbol" w:hAnsi="Symbol" w:hint="default"/>
        <w:b w:val="0"/>
        <w:i w:val="0"/>
        <w:caps w:val="0"/>
        <w:strike w:val="0"/>
        <w:dstrike w:val="0"/>
        <w:vanish w:val="0"/>
        <w:color w:val="2F5496" w:themeColor="accent1" w:themeShade="BF"/>
        <w:sz w:val="1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4D614322"/>
    <w:multiLevelType w:val="hybridMultilevel"/>
    <w:tmpl w:val="B0F05712"/>
    <w:lvl w:ilvl="0" w:tplc="0C9CF7B8">
      <w:start w:val="1"/>
      <w:numFmt w:val="bullet"/>
      <w:lvlText w:val=""/>
      <w:lvlJc w:val="left"/>
      <w:pPr>
        <w:ind w:left="720" w:hanging="360"/>
      </w:pPr>
      <w:rPr>
        <w:rFonts w:ascii="Wingdings" w:hAnsi="Wingdings" w:hint="default"/>
        <w:b w:val="0"/>
        <w:i w:val="0"/>
        <w:caps w:val="0"/>
        <w:strike w:val="0"/>
        <w:dstrike w:val="0"/>
        <w:vanish w:val="0"/>
        <w:color w:val="2F5496" w:themeColor="accent1" w:themeShade="BF"/>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0301948"/>
    <w:multiLevelType w:val="hybridMultilevel"/>
    <w:tmpl w:val="24C021E8"/>
    <w:lvl w:ilvl="0" w:tplc="4DA06D62">
      <w:start w:val="1"/>
      <w:numFmt w:val="decimal"/>
      <w:lvlText w:val="%1."/>
      <w:lvlJc w:val="right"/>
      <w:pPr>
        <w:ind w:left="720" w:hanging="360"/>
      </w:pPr>
      <w:rPr>
        <w:rFonts w:ascii="Calibri" w:hAnsi="Calibri" w:hint="default"/>
        <w:b w:val="0"/>
        <w:bCs w:val="0"/>
        <w:i w:val="0"/>
        <w:iCs w:val="0"/>
        <w:caps w:val="0"/>
        <w:strike w:val="0"/>
        <w:dstrike w:val="0"/>
        <w:vanish w:val="0"/>
        <w:color w:val="2F5496" w:themeColor="accent1" w:themeShade="BF"/>
        <w:spacing w:val="-1"/>
        <w:w w:val="99"/>
        <w:kern w:val="22"/>
        <w:position w:val="0"/>
        <w:sz w:val="22"/>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52C4B31"/>
    <w:multiLevelType w:val="hybridMultilevel"/>
    <w:tmpl w:val="B17A4722"/>
    <w:lvl w:ilvl="0" w:tplc="0C9CF7B8">
      <w:start w:val="1"/>
      <w:numFmt w:val="bullet"/>
      <w:lvlText w:val=""/>
      <w:lvlJc w:val="left"/>
      <w:pPr>
        <w:ind w:left="720" w:hanging="360"/>
      </w:pPr>
      <w:rPr>
        <w:rFonts w:ascii="Wingdings" w:hAnsi="Wingdings" w:hint="default"/>
        <w:b w:val="0"/>
        <w:i w:val="0"/>
        <w:caps w:val="0"/>
        <w:strike w:val="0"/>
        <w:dstrike w:val="0"/>
        <w:vanish w:val="0"/>
        <w:color w:val="2F5496" w:themeColor="accent1" w:themeShade="BF"/>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59A326D"/>
    <w:multiLevelType w:val="hybridMultilevel"/>
    <w:tmpl w:val="78561A66"/>
    <w:lvl w:ilvl="0" w:tplc="BC26A6A6">
      <w:start w:val="1"/>
      <w:numFmt w:val="bullet"/>
      <w:lvlText w:val=""/>
      <w:lvlJc w:val="left"/>
      <w:pPr>
        <w:ind w:left="720" w:hanging="360"/>
      </w:pPr>
      <w:rPr>
        <w:rFonts w:ascii="Wingdings" w:hAnsi="Wingdings" w:hint="default"/>
        <w:b w:val="0"/>
        <w:i w:val="0"/>
        <w:caps w:val="0"/>
        <w:strike w:val="0"/>
        <w:dstrike w:val="0"/>
        <w:vanish w:val="0"/>
        <w:color w:val="2F5496" w:themeColor="accent1" w:themeShade="BF"/>
        <w:sz w:val="2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6681A1A"/>
    <w:multiLevelType w:val="hybridMultilevel"/>
    <w:tmpl w:val="8E829EEA"/>
    <w:lvl w:ilvl="0" w:tplc="9416BCCA">
      <w:start w:val="1"/>
      <w:numFmt w:val="decimal"/>
      <w:lvlText w:val="%1."/>
      <w:lvlJc w:val="right"/>
      <w:pPr>
        <w:ind w:left="720" w:hanging="360"/>
      </w:pPr>
      <w:rPr>
        <w:rFonts w:ascii="Calibri" w:hAnsi="Calibri" w:hint="default"/>
        <w:b w:val="0"/>
        <w:i w:val="0"/>
        <w:caps w:val="0"/>
        <w:strike w:val="0"/>
        <w:dstrike w:val="0"/>
        <w:vanish w:val="0"/>
        <w:color w:val="2F5496" w:themeColor="accent1" w:themeShade="BF"/>
        <w:spacing w:val="-1"/>
        <w:w w:val="99"/>
        <w:position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572F7DB9"/>
    <w:multiLevelType w:val="hybridMultilevel"/>
    <w:tmpl w:val="0D20C06E"/>
    <w:lvl w:ilvl="0" w:tplc="A31AC4A8">
      <w:start w:val="1"/>
      <w:numFmt w:val="bullet"/>
      <w:lvlText w:val=""/>
      <w:lvlJc w:val="left"/>
      <w:pPr>
        <w:ind w:left="720" w:hanging="360"/>
      </w:pPr>
      <w:rPr>
        <w:rFonts w:ascii="Symbol" w:hAnsi="Symbol" w:hint="default"/>
        <w:b w:val="0"/>
        <w:i w:val="0"/>
        <w:caps w:val="0"/>
        <w:strike w:val="0"/>
        <w:dstrike w:val="0"/>
        <w:vanish w:val="0"/>
        <w:color w:val="2F5496" w:themeColor="accent1" w:themeShade="BF"/>
        <w:sz w:val="1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E413001"/>
    <w:multiLevelType w:val="hybridMultilevel"/>
    <w:tmpl w:val="9A7628A2"/>
    <w:lvl w:ilvl="0" w:tplc="8742550C">
      <w:start w:val="1"/>
      <w:numFmt w:val="lowerRoman"/>
      <w:lvlText w:val="%1."/>
      <w:lvlJc w:val="right"/>
      <w:pPr>
        <w:ind w:left="720" w:hanging="360"/>
      </w:pPr>
      <w:rPr>
        <w:rFonts w:ascii="Gill Sans MT" w:hAnsi="Gill Sans MT" w:hint="default"/>
        <w:b w:val="0"/>
        <w:bCs w:val="0"/>
        <w:i w:val="0"/>
        <w:iCs w:val="0"/>
        <w:caps w:val="0"/>
        <w:strike w:val="0"/>
        <w:dstrike w:val="0"/>
        <w:vanish w:val="0"/>
        <w:color w:val="2F5496" w:themeColor="accent1" w:themeShade="BF"/>
        <w:spacing w:val="-1"/>
        <w:w w:val="99"/>
        <w:kern w:val="22"/>
        <w:position w:val="0"/>
        <w:sz w:val="22"/>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3B42CFA"/>
    <w:multiLevelType w:val="multilevel"/>
    <w:tmpl w:val="04100025"/>
    <w:lvl w:ilvl="0">
      <w:start w:val="1"/>
      <w:numFmt w:val="decimal"/>
      <w:pStyle w:val="Titolo12"/>
      <w:lvlText w:val="%1"/>
      <w:lvlJc w:val="left"/>
      <w:pPr>
        <w:ind w:left="432" w:hanging="432"/>
      </w:pPr>
    </w:lvl>
    <w:lvl w:ilvl="1">
      <w:start w:val="1"/>
      <w:numFmt w:val="decimal"/>
      <w:pStyle w:val="Titolo22"/>
      <w:lvlText w:val="%1.%2"/>
      <w:lvlJc w:val="left"/>
      <w:pPr>
        <w:ind w:left="576" w:hanging="576"/>
      </w:pPr>
    </w:lvl>
    <w:lvl w:ilvl="2">
      <w:start w:val="1"/>
      <w:numFmt w:val="decimal"/>
      <w:pStyle w:val="Titolo32"/>
      <w:lvlText w:val="%1.%2.%3"/>
      <w:lvlJc w:val="left"/>
      <w:pPr>
        <w:ind w:left="720" w:hanging="720"/>
      </w:pPr>
    </w:lvl>
    <w:lvl w:ilvl="3">
      <w:start w:val="1"/>
      <w:numFmt w:val="decimal"/>
      <w:pStyle w:val="Titolo42"/>
      <w:lvlText w:val="%1.%2.%3.%4"/>
      <w:lvlJc w:val="left"/>
      <w:pPr>
        <w:ind w:left="864" w:hanging="864"/>
      </w:pPr>
    </w:lvl>
    <w:lvl w:ilvl="4">
      <w:start w:val="1"/>
      <w:numFmt w:val="decimal"/>
      <w:pStyle w:val="Titolo51"/>
      <w:lvlText w:val="%1.%2.%3.%4.%5"/>
      <w:lvlJc w:val="left"/>
      <w:pPr>
        <w:ind w:left="1008" w:hanging="1008"/>
      </w:pPr>
    </w:lvl>
    <w:lvl w:ilvl="5">
      <w:start w:val="1"/>
      <w:numFmt w:val="decimal"/>
      <w:pStyle w:val="Titolo61"/>
      <w:lvlText w:val="%1.%2.%3.%4.%5.%6"/>
      <w:lvlJc w:val="left"/>
      <w:pPr>
        <w:ind w:left="1152" w:hanging="1152"/>
      </w:pPr>
    </w:lvl>
    <w:lvl w:ilvl="6">
      <w:start w:val="1"/>
      <w:numFmt w:val="decimal"/>
      <w:pStyle w:val="Titolo71"/>
      <w:lvlText w:val="%1.%2.%3.%4.%5.%6.%7"/>
      <w:lvlJc w:val="left"/>
      <w:pPr>
        <w:ind w:left="1296" w:hanging="1296"/>
      </w:pPr>
    </w:lvl>
    <w:lvl w:ilvl="7">
      <w:start w:val="1"/>
      <w:numFmt w:val="decimal"/>
      <w:pStyle w:val="Titolo81"/>
      <w:lvlText w:val="%1.%2.%3.%4.%5.%6.%7.%8"/>
      <w:lvlJc w:val="left"/>
      <w:pPr>
        <w:ind w:left="1440" w:hanging="1440"/>
      </w:pPr>
    </w:lvl>
    <w:lvl w:ilvl="8">
      <w:start w:val="1"/>
      <w:numFmt w:val="decimal"/>
      <w:pStyle w:val="Titolo91"/>
      <w:lvlText w:val="%1.%2.%3.%4.%5.%6.%7.%8.%9"/>
      <w:lvlJc w:val="left"/>
      <w:pPr>
        <w:ind w:left="1584" w:hanging="1584"/>
      </w:pPr>
    </w:lvl>
  </w:abstractNum>
  <w:abstractNum w:abstractNumId="53" w15:restartNumberingAfterBreak="0">
    <w:nsid w:val="642A6DC8"/>
    <w:multiLevelType w:val="hybridMultilevel"/>
    <w:tmpl w:val="A6F22C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6B1662E"/>
    <w:multiLevelType w:val="hybridMultilevel"/>
    <w:tmpl w:val="EE3065B6"/>
    <w:lvl w:ilvl="0" w:tplc="356E23D2">
      <w:start w:val="1"/>
      <w:numFmt w:val="lowerLetter"/>
      <w:lvlText w:val="%1)"/>
      <w:lvlJc w:val="left"/>
      <w:pPr>
        <w:ind w:left="720" w:hanging="360"/>
      </w:pPr>
      <w:rPr>
        <w:rFonts w:ascii="Calibri" w:hAnsi="Calibri" w:hint="default"/>
        <w:b w:val="0"/>
        <w:i w:val="0"/>
        <w:caps w:val="0"/>
        <w:strike w:val="0"/>
        <w:dstrike w:val="0"/>
        <w:vanish w:val="0"/>
        <w:color w:val="2F5496" w:themeColor="accent1" w:themeShade="BF"/>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93A2616"/>
    <w:multiLevelType w:val="hybridMultilevel"/>
    <w:tmpl w:val="C0FABA9A"/>
    <w:lvl w:ilvl="0" w:tplc="A31AC4A8">
      <w:start w:val="1"/>
      <w:numFmt w:val="bullet"/>
      <w:lvlText w:val=""/>
      <w:lvlJc w:val="left"/>
      <w:pPr>
        <w:ind w:left="720" w:hanging="360"/>
      </w:pPr>
      <w:rPr>
        <w:rFonts w:ascii="Symbol" w:hAnsi="Symbol" w:hint="default"/>
        <w:b w:val="0"/>
        <w:i w:val="0"/>
        <w:caps w:val="0"/>
        <w:strike w:val="0"/>
        <w:dstrike w:val="0"/>
        <w:vanish w:val="0"/>
        <w:color w:val="2F5496" w:themeColor="accent1" w:themeShade="BF"/>
        <w:sz w:val="1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69E54309"/>
    <w:multiLevelType w:val="hybridMultilevel"/>
    <w:tmpl w:val="EB68900A"/>
    <w:lvl w:ilvl="0" w:tplc="F1E23222">
      <w:start w:val="1"/>
      <w:numFmt w:val="lowerLetter"/>
      <w:lvlText w:val="%1)"/>
      <w:lvlJc w:val="left"/>
      <w:pPr>
        <w:ind w:left="720" w:hanging="360"/>
      </w:pPr>
      <w:rPr>
        <w:rFonts w:ascii="Calibri" w:hAnsi="Calibri" w:hint="default"/>
        <w:b w:val="0"/>
        <w:i w:val="0"/>
        <w:caps w:val="0"/>
        <w:strike w:val="0"/>
        <w:dstrike w:val="0"/>
        <w:vanish w:val="0"/>
        <w:color w:val="2F5496" w:themeColor="accent1" w:themeShade="BF"/>
        <w:spacing w:val="0"/>
        <w:w w:val="100"/>
        <w:position w:val="0"/>
        <w:sz w:val="22"/>
        <w:szCs w:val="15"/>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9860F0"/>
    <w:multiLevelType w:val="hybridMultilevel"/>
    <w:tmpl w:val="6A3CE22C"/>
    <w:lvl w:ilvl="0" w:tplc="F8EE8B58">
      <w:start w:val="1"/>
      <w:numFmt w:val="lowerRoman"/>
      <w:lvlText w:val="%1."/>
      <w:lvlJc w:val="right"/>
      <w:pPr>
        <w:ind w:left="720" w:hanging="360"/>
      </w:pPr>
      <w:rPr>
        <w:rFonts w:ascii="Calibri" w:hAnsi="Calibri" w:hint="default"/>
        <w:b w:val="0"/>
        <w:i w:val="0"/>
        <w:caps w:val="0"/>
        <w:strike w:val="0"/>
        <w:dstrike w:val="0"/>
        <w:vanish w:val="0"/>
        <w:color w:val="2F5496" w:themeColor="accent1" w:themeShade="BF"/>
        <w:spacing w:val="-1"/>
        <w:w w:val="99"/>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73931694"/>
    <w:multiLevelType w:val="hybridMultilevel"/>
    <w:tmpl w:val="BB8430CC"/>
    <w:lvl w:ilvl="0" w:tplc="0C9CF7B8">
      <w:start w:val="1"/>
      <w:numFmt w:val="bullet"/>
      <w:lvlText w:val=""/>
      <w:lvlJc w:val="left"/>
      <w:pPr>
        <w:ind w:left="720" w:hanging="360"/>
      </w:pPr>
      <w:rPr>
        <w:rFonts w:ascii="Wingdings" w:hAnsi="Wingdings" w:hint="default"/>
        <w:b w:val="0"/>
        <w:i w:val="0"/>
        <w:caps w:val="0"/>
        <w:strike w:val="0"/>
        <w:dstrike w:val="0"/>
        <w:vanish w:val="0"/>
        <w:color w:val="2F5496" w:themeColor="accent1" w:themeShade="BF"/>
        <w:sz w:val="22"/>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5B73B9C"/>
    <w:multiLevelType w:val="hybridMultilevel"/>
    <w:tmpl w:val="27543D26"/>
    <w:lvl w:ilvl="0" w:tplc="F8EE8B58">
      <w:start w:val="1"/>
      <w:numFmt w:val="lowerRoman"/>
      <w:lvlText w:val="%1."/>
      <w:lvlJc w:val="right"/>
      <w:pPr>
        <w:ind w:left="720" w:hanging="360"/>
      </w:pPr>
      <w:rPr>
        <w:rFonts w:ascii="Calibri" w:hAnsi="Calibri" w:hint="default"/>
        <w:b w:val="0"/>
        <w:i w:val="0"/>
        <w:caps w:val="0"/>
        <w:strike w:val="0"/>
        <w:dstrike w:val="0"/>
        <w:vanish w:val="0"/>
        <w:color w:val="2F5496" w:themeColor="accent1" w:themeShade="BF"/>
        <w:spacing w:val="-1"/>
        <w:w w:val="99"/>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7A2C33A6"/>
    <w:multiLevelType w:val="hybridMultilevel"/>
    <w:tmpl w:val="63E4B1AC"/>
    <w:lvl w:ilvl="0" w:tplc="356E23D2">
      <w:start w:val="1"/>
      <w:numFmt w:val="lowerLetter"/>
      <w:lvlText w:val="%1)"/>
      <w:lvlJc w:val="left"/>
      <w:pPr>
        <w:ind w:left="720" w:hanging="360"/>
      </w:pPr>
      <w:rPr>
        <w:rFonts w:ascii="Calibri" w:hAnsi="Calibri" w:hint="default"/>
        <w:b w:val="0"/>
        <w:i w:val="0"/>
        <w:caps w:val="0"/>
        <w:strike w:val="0"/>
        <w:dstrike w:val="0"/>
        <w:vanish w:val="0"/>
        <w:color w:val="2F5496" w:themeColor="accent1" w:themeShade="BF"/>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7C3257C8"/>
    <w:multiLevelType w:val="hybridMultilevel"/>
    <w:tmpl w:val="48626D1A"/>
    <w:lvl w:ilvl="0" w:tplc="0C9CF7B8">
      <w:start w:val="1"/>
      <w:numFmt w:val="bullet"/>
      <w:lvlText w:val=""/>
      <w:lvlJc w:val="left"/>
      <w:pPr>
        <w:ind w:left="720" w:hanging="360"/>
      </w:pPr>
      <w:rPr>
        <w:rFonts w:ascii="Wingdings" w:hAnsi="Wingdings" w:hint="default"/>
        <w:b w:val="0"/>
        <w:bCs w:val="0"/>
        <w:i w:val="0"/>
        <w:iCs w:val="0"/>
        <w:caps w:val="0"/>
        <w:strike w:val="0"/>
        <w:dstrike w:val="0"/>
        <w:vanish w:val="0"/>
        <w:color w:val="2F5496" w:themeColor="accent1" w:themeShade="BF"/>
        <w:spacing w:val="-1"/>
        <w:w w:val="99"/>
        <w:kern w:val="22"/>
        <w:position w:val="0"/>
        <w:sz w:val="22"/>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8"/>
  </w:num>
  <w:num w:numId="2">
    <w:abstractNumId w:val="25"/>
  </w:num>
  <w:num w:numId="3">
    <w:abstractNumId w:val="56"/>
  </w:num>
  <w:num w:numId="4">
    <w:abstractNumId w:val="21"/>
  </w:num>
  <w:num w:numId="5">
    <w:abstractNumId w:val="13"/>
  </w:num>
  <w:num w:numId="6">
    <w:abstractNumId w:val="28"/>
  </w:num>
  <w:num w:numId="7">
    <w:abstractNumId w:val="26"/>
  </w:num>
  <w:num w:numId="8">
    <w:abstractNumId w:val="32"/>
  </w:num>
  <w:num w:numId="9">
    <w:abstractNumId w:val="9"/>
  </w:num>
  <w:num w:numId="10">
    <w:abstractNumId w:val="42"/>
  </w:num>
  <w:num w:numId="11">
    <w:abstractNumId w:val="30"/>
  </w:num>
  <w:num w:numId="12">
    <w:abstractNumId w:val="47"/>
  </w:num>
  <w:num w:numId="13">
    <w:abstractNumId w:val="17"/>
  </w:num>
  <w:num w:numId="14">
    <w:abstractNumId w:val="43"/>
  </w:num>
  <w:num w:numId="15">
    <w:abstractNumId w:val="24"/>
  </w:num>
  <w:num w:numId="16">
    <w:abstractNumId w:val="54"/>
  </w:num>
  <w:num w:numId="17">
    <w:abstractNumId w:val="10"/>
  </w:num>
  <w:num w:numId="18">
    <w:abstractNumId w:val="29"/>
  </w:num>
  <w:num w:numId="19">
    <w:abstractNumId w:val="5"/>
  </w:num>
  <w:num w:numId="20">
    <w:abstractNumId w:val="15"/>
  </w:num>
  <w:num w:numId="21">
    <w:abstractNumId w:val="45"/>
  </w:num>
  <w:num w:numId="22">
    <w:abstractNumId w:val="1"/>
  </w:num>
  <w:num w:numId="23">
    <w:abstractNumId w:val="11"/>
  </w:num>
  <w:num w:numId="24">
    <w:abstractNumId w:val="52"/>
  </w:num>
  <w:num w:numId="25">
    <w:abstractNumId w:val="27"/>
  </w:num>
  <w:num w:numId="26">
    <w:abstractNumId w:val="2"/>
  </w:num>
  <w:num w:numId="27">
    <w:abstractNumId w:val="61"/>
  </w:num>
  <w:num w:numId="28">
    <w:abstractNumId w:val="31"/>
  </w:num>
  <w:num w:numId="29">
    <w:abstractNumId w:val="12"/>
  </w:num>
  <w:num w:numId="30">
    <w:abstractNumId w:val="38"/>
  </w:num>
  <w:num w:numId="31">
    <w:abstractNumId w:val="60"/>
  </w:num>
  <w:num w:numId="32">
    <w:abstractNumId w:val="7"/>
  </w:num>
  <w:num w:numId="33">
    <w:abstractNumId w:val="8"/>
  </w:num>
  <w:num w:numId="34">
    <w:abstractNumId w:val="51"/>
  </w:num>
  <w:num w:numId="35">
    <w:abstractNumId w:val="14"/>
  </w:num>
  <w:num w:numId="36">
    <w:abstractNumId w:val="36"/>
  </w:num>
  <w:num w:numId="37">
    <w:abstractNumId w:val="55"/>
  </w:num>
  <w:num w:numId="38">
    <w:abstractNumId w:val="19"/>
  </w:num>
  <w:num w:numId="39">
    <w:abstractNumId w:val="39"/>
  </w:num>
  <w:num w:numId="40">
    <w:abstractNumId w:val="44"/>
  </w:num>
  <w:num w:numId="41">
    <w:abstractNumId w:val="59"/>
  </w:num>
  <w:num w:numId="42">
    <w:abstractNumId w:val="40"/>
  </w:num>
  <w:num w:numId="43">
    <w:abstractNumId w:val="57"/>
  </w:num>
  <w:num w:numId="44">
    <w:abstractNumId w:val="37"/>
  </w:num>
  <w:num w:numId="45">
    <w:abstractNumId w:val="33"/>
  </w:num>
  <w:num w:numId="46">
    <w:abstractNumId w:val="6"/>
  </w:num>
  <w:num w:numId="47">
    <w:abstractNumId w:val="35"/>
  </w:num>
  <w:num w:numId="48">
    <w:abstractNumId w:val="50"/>
  </w:num>
  <w:num w:numId="49">
    <w:abstractNumId w:val="20"/>
  </w:num>
  <w:num w:numId="50">
    <w:abstractNumId w:val="49"/>
  </w:num>
  <w:num w:numId="51">
    <w:abstractNumId w:val="34"/>
  </w:num>
  <w:num w:numId="52">
    <w:abstractNumId w:val="48"/>
  </w:num>
  <w:num w:numId="53">
    <w:abstractNumId w:val="46"/>
  </w:num>
  <w:num w:numId="54">
    <w:abstractNumId w:val="3"/>
  </w:num>
  <w:num w:numId="55">
    <w:abstractNumId w:val="18"/>
  </w:num>
  <w:num w:numId="56">
    <w:abstractNumId w:val="0"/>
  </w:num>
  <w:num w:numId="57">
    <w:abstractNumId w:val="16"/>
  </w:num>
  <w:num w:numId="58">
    <w:abstractNumId w:val="23"/>
  </w:num>
  <w:num w:numId="59">
    <w:abstractNumId w:val="53"/>
  </w:num>
  <w:num w:numId="60">
    <w:abstractNumId w:val="4"/>
  </w:num>
  <w:num w:numId="61">
    <w:abstractNumId w:val="22"/>
  </w:num>
  <w:num w:numId="62">
    <w:abstractNumId w:val="4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C2"/>
    <w:rsid w:val="00004340"/>
    <w:rsid w:val="00005C89"/>
    <w:rsid w:val="00010300"/>
    <w:rsid w:val="0004448B"/>
    <w:rsid w:val="000472AC"/>
    <w:rsid w:val="000558B9"/>
    <w:rsid w:val="00061BF9"/>
    <w:rsid w:val="00082B5A"/>
    <w:rsid w:val="000858F4"/>
    <w:rsid w:val="000A29A3"/>
    <w:rsid w:val="000A3492"/>
    <w:rsid w:val="000C3A8F"/>
    <w:rsid w:val="000C60C8"/>
    <w:rsid w:val="000C6124"/>
    <w:rsid w:val="000C7A0D"/>
    <w:rsid w:val="000E1779"/>
    <w:rsid w:val="000F625B"/>
    <w:rsid w:val="00135F68"/>
    <w:rsid w:val="001370F3"/>
    <w:rsid w:val="001521D5"/>
    <w:rsid w:val="00170F23"/>
    <w:rsid w:val="00177AFA"/>
    <w:rsid w:val="00180981"/>
    <w:rsid w:val="00196092"/>
    <w:rsid w:val="001A2EC7"/>
    <w:rsid w:val="001A714E"/>
    <w:rsid w:val="001B510D"/>
    <w:rsid w:val="001D2746"/>
    <w:rsid w:val="001E2A0F"/>
    <w:rsid w:val="001F4ADC"/>
    <w:rsid w:val="0021396A"/>
    <w:rsid w:val="00215BC5"/>
    <w:rsid w:val="00216703"/>
    <w:rsid w:val="00226119"/>
    <w:rsid w:val="00234287"/>
    <w:rsid w:val="0023489C"/>
    <w:rsid w:val="0026274F"/>
    <w:rsid w:val="00263F7E"/>
    <w:rsid w:val="002719F7"/>
    <w:rsid w:val="002722CD"/>
    <w:rsid w:val="00274792"/>
    <w:rsid w:val="002805C6"/>
    <w:rsid w:val="00290C6E"/>
    <w:rsid w:val="00291736"/>
    <w:rsid w:val="002A28F1"/>
    <w:rsid w:val="002A3C3B"/>
    <w:rsid w:val="002A49B2"/>
    <w:rsid w:val="002B008F"/>
    <w:rsid w:val="002B1AD3"/>
    <w:rsid w:val="002B741C"/>
    <w:rsid w:val="002C6FE1"/>
    <w:rsid w:val="002D346B"/>
    <w:rsid w:val="002D42B2"/>
    <w:rsid w:val="002D5F26"/>
    <w:rsid w:val="002E3C78"/>
    <w:rsid w:val="002E485A"/>
    <w:rsid w:val="002F527A"/>
    <w:rsid w:val="002F53E0"/>
    <w:rsid w:val="00303BE0"/>
    <w:rsid w:val="00306673"/>
    <w:rsid w:val="00310864"/>
    <w:rsid w:val="00313223"/>
    <w:rsid w:val="00315FA3"/>
    <w:rsid w:val="00320F68"/>
    <w:rsid w:val="00322FA4"/>
    <w:rsid w:val="0032406F"/>
    <w:rsid w:val="0032604C"/>
    <w:rsid w:val="003260E7"/>
    <w:rsid w:val="00326F38"/>
    <w:rsid w:val="00330C22"/>
    <w:rsid w:val="003314FE"/>
    <w:rsid w:val="00344109"/>
    <w:rsid w:val="00352523"/>
    <w:rsid w:val="00353E1E"/>
    <w:rsid w:val="00360118"/>
    <w:rsid w:val="0036436B"/>
    <w:rsid w:val="003803EC"/>
    <w:rsid w:val="00383BEE"/>
    <w:rsid w:val="00392FC3"/>
    <w:rsid w:val="00397C5F"/>
    <w:rsid w:val="003C1227"/>
    <w:rsid w:val="003C3C8E"/>
    <w:rsid w:val="003C7719"/>
    <w:rsid w:val="003D70FE"/>
    <w:rsid w:val="003E0197"/>
    <w:rsid w:val="003E4674"/>
    <w:rsid w:val="003E65B3"/>
    <w:rsid w:val="003E6A3A"/>
    <w:rsid w:val="003F1FA9"/>
    <w:rsid w:val="00413579"/>
    <w:rsid w:val="00414066"/>
    <w:rsid w:val="00425DB7"/>
    <w:rsid w:val="00431499"/>
    <w:rsid w:val="00443930"/>
    <w:rsid w:val="00453ABF"/>
    <w:rsid w:val="004552C4"/>
    <w:rsid w:val="004660FE"/>
    <w:rsid w:val="004670C6"/>
    <w:rsid w:val="00470157"/>
    <w:rsid w:val="00476C41"/>
    <w:rsid w:val="00485300"/>
    <w:rsid w:val="00486A0B"/>
    <w:rsid w:val="00493435"/>
    <w:rsid w:val="00496DD4"/>
    <w:rsid w:val="004A0F19"/>
    <w:rsid w:val="004B0D53"/>
    <w:rsid w:val="004B380B"/>
    <w:rsid w:val="004B3CC7"/>
    <w:rsid w:val="004B4ABD"/>
    <w:rsid w:val="004B5981"/>
    <w:rsid w:val="004D11E1"/>
    <w:rsid w:val="004D5864"/>
    <w:rsid w:val="004D66CA"/>
    <w:rsid w:val="004D74ED"/>
    <w:rsid w:val="004E2A98"/>
    <w:rsid w:val="004E5BE3"/>
    <w:rsid w:val="004F1D0C"/>
    <w:rsid w:val="0050011E"/>
    <w:rsid w:val="005008F9"/>
    <w:rsid w:val="00502A61"/>
    <w:rsid w:val="00514023"/>
    <w:rsid w:val="00540AC7"/>
    <w:rsid w:val="00547D1B"/>
    <w:rsid w:val="00552477"/>
    <w:rsid w:val="00557DC9"/>
    <w:rsid w:val="0057273F"/>
    <w:rsid w:val="00572FBE"/>
    <w:rsid w:val="00573DB6"/>
    <w:rsid w:val="00582B4A"/>
    <w:rsid w:val="00584915"/>
    <w:rsid w:val="005852B9"/>
    <w:rsid w:val="00585890"/>
    <w:rsid w:val="00591677"/>
    <w:rsid w:val="005A0895"/>
    <w:rsid w:val="005A1136"/>
    <w:rsid w:val="005A5F30"/>
    <w:rsid w:val="005A76FD"/>
    <w:rsid w:val="005B40C5"/>
    <w:rsid w:val="005F6524"/>
    <w:rsid w:val="0060417A"/>
    <w:rsid w:val="006255DD"/>
    <w:rsid w:val="00664A79"/>
    <w:rsid w:val="00675F1D"/>
    <w:rsid w:val="00676CD7"/>
    <w:rsid w:val="006823F7"/>
    <w:rsid w:val="006901CE"/>
    <w:rsid w:val="006A181B"/>
    <w:rsid w:val="006A43A9"/>
    <w:rsid w:val="006A7139"/>
    <w:rsid w:val="006C50B7"/>
    <w:rsid w:val="006C5D06"/>
    <w:rsid w:val="006E0569"/>
    <w:rsid w:val="006E4881"/>
    <w:rsid w:val="006F1AB1"/>
    <w:rsid w:val="006F5172"/>
    <w:rsid w:val="00703EB0"/>
    <w:rsid w:val="00704006"/>
    <w:rsid w:val="00725B30"/>
    <w:rsid w:val="00746F9F"/>
    <w:rsid w:val="0076446A"/>
    <w:rsid w:val="00772EC2"/>
    <w:rsid w:val="00773543"/>
    <w:rsid w:val="00775A10"/>
    <w:rsid w:val="00784A6D"/>
    <w:rsid w:val="007864C2"/>
    <w:rsid w:val="00787305"/>
    <w:rsid w:val="00790309"/>
    <w:rsid w:val="007936C9"/>
    <w:rsid w:val="00794F65"/>
    <w:rsid w:val="007968FC"/>
    <w:rsid w:val="007979AA"/>
    <w:rsid w:val="007A0651"/>
    <w:rsid w:val="007A4A83"/>
    <w:rsid w:val="007B1408"/>
    <w:rsid w:val="007B31D7"/>
    <w:rsid w:val="007C5B76"/>
    <w:rsid w:val="007D137B"/>
    <w:rsid w:val="007D1E5F"/>
    <w:rsid w:val="007D2C75"/>
    <w:rsid w:val="007E42AB"/>
    <w:rsid w:val="007E49DD"/>
    <w:rsid w:val="007F53C3"/>
    <w:rsid w:val="00800058"/>
    <w:rsid w:val="00801F4F"/>
    <w:rsid w:val="0082579D"/>
    <w:rsid w:val="00844952"/>
    <w:rsid w:val="00850215"/>
    <w:rsid w:val="00855402"/>
    <w:rsid w:val="0086083F"/>
    <w:rsid w:val="00865EA1"/>
    <w:rsid w:val="00876465"/>
    <w:rsid w:val="00885181"/>
    <w:rsid w:val="008861B0"/>
    <w:rsid w:val="008936E7"/>
    <w:rsid w:val="00894804"/>
    <w:rsid w:val="00897EAB"/>
    <w:rsid w:val="008A35F1"/>
    <w:rsid w:val="008C4943"/>
    <w:rsid w:val="008C5B27"/>
    <w:rsid w:val="008D10D0"/>
    <w:rsid w:val="008D292A"/>
    <w:rsid w:val="008D749B"/>
    <w:rsid w:val="008E70D5"/>
    <w:rsid w:val="008F5918"/>
    <w:rsid w:val="008F7E17"/>
    <w:rsid w:val="00901ADA"/>
    <w:rsid w:val="00902E61"/>
    <w:rsid w:val="00903C19"/>
    <w:rsid w:val="00915567"/>
    <w:rsid w:val="00915706"/>
    <w:rsid w:val="009167C5"/>
    <w:rsid w:val="009215B1"/>
    <w:rsid w:val="00934A02"/>
    <w:rsid w:val="00947CF0"/>
    <w:rsid w:val="0095636C"/>
    <w:rsid w:val="0096021C"/>
    <w:rsid w:val="0096095C"/>
    <w:rsid w:val="009660D0"/>
    <w:rsid w:val="0097334F"/>
    <w:rsid w:val="009736B9"/>
    <w:rsid w:val="00984B99"/>
    <w:rsid w:val="00994FD3"/>
    <w:rsid w:val="009A0484"/>
    <w:rsid w:val="009A2829"/>
    <w:rsid w:val="009B5475"/>
    <w:rsid w:val="009C14B5"/>
    <w:rsid w:val="009C4B18"/>
    <w:rsid w:val="009C5F09"/>
    <w:rsid w:val="009C6CA4"/>
    <w:rsid w:val="009D1697"/>
    <w:rsid w:val="009D5860"/>
    <w:rsid w:val="009F09A4"/>
    <w:rsid w:val="009F659A"/>
    <w:rsid w:val="00A0011A"/>
    <w:rsid w:val="00A06365"/>
    <w:rsid w:val="00A0737C"/>
    <w:rsid w:val="00A25407"/>
    <w:rsid w:val="00A25989"/>
    <w:rsid w:val="00A41DD4"/>
    <w:rsid w:val="00A552BD"/>
    <w:rsid w:val="00A568FC"/>
    <w:rsid w:val="00A62F77"/>
    <w:rsid w:val="00A746BC"/>
    <w:rsid w:val="00A7480C"/>
    <w:rsid w:val="00A801C9"/>
    <w:rsid w:val="00A80212"/>
    <w:rsid w:val="00A8030A"/>
    <w:rsid w:val="00A8121F"/>
    <w:rsid w:val="00A8557A"/>
    <w:rsid w:val="00A8571A"/>
    <w:rsid w:val="00A86DD4"/>
    <w:rsid w:val="00A87102"/>
    <w:rsid w:val="00A9638C"/>
    <w:rsid w:val="00A96B54"/>
    <w:rsid w:val="00AA6A52"/>
    <w:rsid w:val="00AA6D82"/>
    <w:rsid w:val="00AB4F7D"/>
    <w:rsid w:val="00AB5A0C"/>
    <w:rsid w:val="00AC1336"/>
    <w:rsid w:val="00AC526F"/>
    <w:rsid w:val="00AD1CEA"/>
    <w:rsid w:val="00AD7BB9"/>
    <w:rsid w:val="00B051EA"/>
    <w:rsid w:val="00B05E60"/>
    <w:rsid w:val="00B072F2"/>
    <w:rsid w:val="00B134DA"/>
    <w:rsid w:val="00B1634A"/>
    <w:rsid w:val="00B16C4A"/>
    <w:rsid w:val="00B27DB7"/>
    <w:rsid w:val="00B3291A"/>
    <w:rsid w:val="00B3602C"/>
    <w:rsid w:val="00B4092D"/>
    <w:rsid w:val="00B41208"/>
    <w:rsid w:val="00B419C3"/>
    <w:rsid w:val="00B520B2"/>
    <w:rsid w:val="00B526F3"/>
    <w:rsid w:val="00B56461"/>
    <w:rsid w:val="00B57A77"/>
    <w:rsid w:val="00B615B9"/>
    <w:rsid w:val="00B6199F"/>
    <w:rsid w:val="00B647D7"/>
    <w:rsid w:val="00BA4D3E"/>
    <w:rsid w:val="00BB04C7"/>
    <w:rsid w:val="00BB280A"/>
    <w:rsid w:val="00BB4E56"/>
    <w:rsid w:val="00BC091C"/>
    <w:rsid w:val="00BC4DC7"/>
    <w:rsid w:val="00BF2D80"/>
    <w:rsid w:val="00BF52F2"/>
    <w:rsid w:val="00BF5A3A"/>
    <w:rsid w:val="00BF7405"/>
    <w:rsid w:val="00C01F7F"/>
    <w:rsid w:val="00C13E38"/>
    <w:rsid w:val="00C2042E"/>
    <w:rsid w:val="00C20E77"/>
    <w:rsid w:val="00C210C1"/>
    <w:rsid w:val="00C30D7B"/>
    <w:rsid w:val="00C31A5B"/>
    <w:rsid w:val="00C50490"/>
    <w:rsid w:val="00C5424E"/>
    <w:rsid w:val="00C61E64"/>
    <w:rsid w:val="00C62FAB"/>
    <w:rsid w:val="00C64BDA"/>
    <w:rsid w:val="00C71779"/>
    <w:rsid w:val="00C74544"/>
    <w:rsid w:val="00C84FFE"/>
    <w:rsid w:val="00C876EF"/>
    <w:rsid w:val="00C92940"/>
    <w:rsid w:val="00C94358"/>
    <w:rsid w:val="00C94CA0"/>
    <w:rsid w:val="00C95C67"/>
    <w:rsid w:val="00CB246B"/>
    <w:rsid w:val="00CC44D5"/>
    <w:rsid w:val="00CD02C4"/>
    <w:rsid w:val="00CE6A0C"/>
    <w:rsid w:val="00CF5C21"/>
    <w:rsid w:val="00D050BC"/>
    <w:rsid w:val="00D05427"/>
    <w:rsid w:val="00D14FB3"/>
    <w:rsid w:val="00D174DE"/>
    <w:rsid w:val="00D33DE6"/>
    <w:rsid w:val="00D507D2"/>
    <w:rsid w:val="00D55BBE"/>
    <w:rsid w:val="00D600E8"/>
    <w:rsid w:val="00D625DA"/>
    <w:rsid w:val="00D62C5A"/>
    <w:rsid w:val="00D6347C"/>
    <w:rsid w:val="00D64334"/>
    <w:rsid w:val="00D64BF8"/>
    <w:rsid w:val="00D77962"/>
    <w:rsid w:val="00D77AFE"/>
    <w:rsid w:val="00D83945"/>
    <w:rsid w:val="00D84FC8"/>
    <w:rsid w:val="00D85C72"/>
    <w:rsid w:val="00D91C05"/>
    <w:rsid w:val="00DA395E"/>
    <w:rsid w:val="00DA7989"/>
    <w:rsid w:val="00DB082C"/>
    <w:rsid w:val="00DB1296"/>
    <w:rsid w:val="00DB1D8B"/>
    <w:rsid w:val="00DB36EA"/>
    <w:rsid w:val="00DB7958"/>
    <w:rsid w:val="00DC6A14"/>
    <w:rsid w:val="00DC7232"/>
    <w:rsid w:val="00DC7415"/>
    <w:rsid w:val="00DC77C7"/>
    <w:rsid w:val="00DE0AB8"/>
    <w:rsid w:val="00DE2F92"/>
    <w:rsid w:val="00DE52AE"/>
    <w:rsid w:val="00DF7EF6"/>
    <w:rsid w:val="00E078A4"/>
    <w:rsid w:val="00E07D15"/>
    <w:rsid w:val="00E12D54"/>
    <w:rsid w:val="00E53468"/>
    <w:rsid w:val="00E55C6A"/>
    <w:rsid w:val="00E8501E"/>
    <w:rsid w:val="00E93E23"/>
    <w:rsid w:val="00EA005F"/>
    <w:rsid w:val="00EB7EE8"/>
    <w:rsid w:val="00ED0D41"/>
    <w:rsid w:val="00ED43C2"/>
    <w:rsid w:val="00EE288A"/>
    <w:rsid w:val="00EF74C4"/>
    <w:rsid w:val="00F02417"/>
    <w:rsid w:val="00F07E17"/>
    <w:rsid w:val="00F2444A"/>
    <w:rsid w:val="00F257B9"/>
    <w:rsid w:val="00F328CD"/>
    <w:rsid w:val="00F33668"/>
    <w:rsid w:val="00F36AEE"/>
    <w:rsid w:val="00F37A7B"/>
    <w:rsid w:val="00F415B3"/>
    <w:rsid w:val="00F4176F"/>
    <w:rsid w:val="00F531AB"/>
    <w:rsid w:val="00F601A4"/>
    <w:rsid w:val="00F61D5A"/>
    <w:rsid w:val="00F6345A"/>
    <w:rsid w:val="00F76337"/>
    <w:rsid w:val="00F7647E"/>
    <w:rsid w:val="00F956A2"/>
    <w:rsid w:val="00F967F4"/>
    <w:rsid w:val="00FA0EEC"/>
    <w:rsid w:val="00FB2A00"/>
    <w:rsid w:val="00FC1205"/>
    <w:rsid w:val="00FC1968"/>
    <w:rsid w:val="00FD30B0"/>
    <w:rsid w:val="00FD3472"/>
    <w:rsid w:val="00FD6E5A"/>
    <w:rsid w:val="00FE0924"/>
    <w:rsid w:val="00FE2C4D"/>
    <w:rsid w:val="00FE691C"/>
    <w:rsid w:val="00FF5BEA"/>
    <w:rsid w:val="00FF5C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53215"/>
  <w15:docId w15:val="{F54DB613-1628-4F21-BE99-30006C4C1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1" w:unhideWhenUsed="1"/>
    <w:lsdException w:name="toc 5" w:semiHidden="1" w:uiPriority="1" w:unhideWhenUsed="1"/>
    <w:lsdException w:name="toc 6" w:semiHidden="1" w:uiPriority="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E2A0F"/>
    <w:pPr>
      <w:spacing w:after="0" w:line="240" w:lineRule="auto"/>
      <w:jc w:val="both"/>
    </w:pPr>
    <w:rPr>
      <w:rFonts w:ascii="Calibri" w:eastAsia="Times New Roman" w:hAnsi="Calibri" w:cs="Times New Roman"/>
      <w:sz w:val="20"/>
      <w:szCs w:val="24"/>
      <w:lang w:eastAsia="it-IT"/>
    </w:rPr>
  </w:style>
  <w:style w:type="paragraph" w:styleId="Titolo1">
    <w:name w:val="heading 1"/>
    <w:basedOn w:val="Normale"/>
    <w:next w:val="Normale"/>
    <w:link w:val="Titolo1Carattere"/>
    <w:uiPriority w:val="9"/>
    <w:qFormat/>
    <w:rsid w:val="00310864"/>
    <w:pPr>
      <w:keepNext/>
      <w:keepLines/>
      <w:tabs>
        <w:tab w:val="left" w:pos="709"/>
      </w:tabs>
      <w:spacing w:before="240" w:after="240"/>
      <w:ind w:left="709" w:hanging="709"/>
      <w:outlineLvl w:val="0"/>
    </w:pPr>
    <w:rPr>
      <w:rFonts w:eastAsiaTheme="majorEastAsia" w:cstheme="majorBidi"/>
      <w:b/>
      <w:caps/>
      <w:color w:val="2F5496" w:themeColor="accent1" w:themeShade="BF"/>
      <w:sz w:val="28"/>
      <w:szCs w:val="32"/>
    </w:rPr>
  </w:style>
  <w:style w:type="paragraph" w:styleId="Titolo2">
    <w:name w:val="heading 2"/>
    <w:basedOn w:val="Titolo1"/>
    <w:next w:val="Normale"/>
    <w:link w:val="Titolo2Carattere"/>
    <w:uiPriority w:val="9"/>
    <w:unhideWhenUsed/>
    <w:qFormat/>
    <w:rsid w:val="00310864"/>
    <w:pPr>
      <w:spacing w:after="120"/>
      <w:outlineLvl w:val="1"/>
    </w:pPr>
    <w:rPr>
      <w:sz w:val="26"/>
      <w:szCs w:val="26"/>
    </w:rPr>
  </w:style>
  <w:style w:type="paragraph" w:styleId="Titolo3">
    <w:name w:val="heading 3"/>
    <w:basedOn w:val="Titolo2"/>
    <w:next w:val="Normale"/>
    <w:link w:val="Titolo3Carattere"/>
    <w:uiPriority w:val="9"/>
    <w:unhideWhenUsed/>
    <w:qFormat/>
    <w:rsid w:val="00310864"/>
    <w:pPr>
      <w:outlineLvl w:val="2"/>
    </w:pPr>
    <w:rPr>
      <w:caps w:val="0"/>
      <w:sz w:val="24"/>
      <w:szCs w:val="24"/>
    </w:rPr>
  </w:style>
  <w:style w:type="paragraph" w:styleId="Titolo4">
    <w:name w:val="heading 4"/>
    <w:basedOn w:val="Titolo3"/>
    <w:next w:val="Normale"/>
    <w:link w:val="Titolo4Carattere"/>
    <w:uiPriority w:val="9"/>
    <w:unhideWhenUsed/>
    <w:qFormat/>
    <w:rsid w:val="00664A79"/>
    <w:pPr>
      <w:tabs>
        <w:tab w:val="clear" w:pos="709"/>
        <w:tab w:val="left" w:pos="851"/>
      </w:tabs>
      <w:spacing w:before="120"/>
      <w:ind w:left="851" w:hanging="851"/>
      <w:outlineLvl w:val="3"/>
    </w:pPr>
    <w:rPr>
      <w:i/>
      <w:iCs/>
    </w:rPr>
  </w:style>
  <w:style w:type="paragraph" w:styleId="Titolo5">
    <w:name w:val="heading 5"/>
    <w:basedOn w:val="Normale"/>
    <w:next w:val="Normale"/>
    <w:link w:val="Titolo5Carattere"/>
    <w:uiPriority w:val="9"/>
    <w:unhideWhenUsed/>
    <w:qFormat/>
    <w:rsid w:val="00664A79"/>
    <w:pPr>
      <w:keepNext/>
      <w:keepLines/>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link w:val="Titolo6Carattere"/>
    <w:uiPriority w:val="9"/>
    <w:unhideWhenUsed/>
    <w:qFormat/>
    <w:rsid w:val="00664A79"/>
    <w:pPr>
      <w:widowControl w:val="0"/>
      <w:autoSpaceDE w:val="0"/>
      <w:autoSpaceDN w:val="0"/>
      <w:spacing w:line="276" w:lineRule="auto"/>
      <w:ind w:left="267"/>
      <w:jc w:val="left"/>
      <w:outlineLvl w:val="5"/>
    </w:pPr>
    <w:rPr>
      <w:rFonts w:ascii="Arial" w:eastAsia="Arial" w:hAnsi="Arial" w:cs="Arial"/>
      <w:b/>
      <w:bCs/>
      <w:sz w:val="19"/>
      <w:szCs w:val="19"/>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10864"/>
    <w:rPr>
      <w:rFonts w:ascii="Calibri" w:eastAsiaTheme="majorEastAsia" w:hAnsi="Calibri" w:cstheme="majorBidi"/>
      <w:b/>
      <w:caps/>
      <w:color w:val="2F5496" w:themeColor="accent1" w:themeShade="BF"/>
      <w:sz w:val="28"/>
      <w:szCs w:val="32"/>
    </w:rPr>
  </w:style>
  <w:style w:type="character" w:customStyle="1" w:styleId="Titolo2Carattere">
    <w:name w:val="Titolo 2 Carattere"/>
    <w:basedOn w:val="Carpredefinitoparagrafo"/>
    <w:link w:val="Titolo2"/>
    <w:uiPriority w:val="9"/>
    <w:rsid w:val="00310864"/>
    <w:rPr>
      <w:rFonts w:ascii="Calibri" w:eastAsiaTheme="majorEastAsia" w:hAnsi="Calibri" w:cstheme="majorBidi"/>
      <w:b/>
      <w:caps/>
      <w:color w:val="2F5496" w:themeColor="accent1" w:themeShade="BF"/>
      <w:sz w:val="26"/>
      <w:szCs w:val="26"/>
    </w:rPr>
  </w:style>
  <w:style w:type="character" w:customStyle="1" w:styleId="Titolo4Carattere">
    <w:name w:val="Titolo 4 Carattere"/>
    <w:basedOn w:val="Carpredefinitoparagrafo"/>
    <w:link w:val="Titolo4"/>
    <w:uiPriority w:val="9"/>
    <w:rsid w:val="00664A79"/>
    <w:rPr>
      <w:rFonts w:ascii="Calibri" w:eastAsiaTheme="majorEastAsia" w:hAnsi="Calibri" w:cstheme="majorBidi"/>
      <w:b/>
      <w:i/>
      <w:iCs/>
      <w:color w:val="2F5496" w:themeColor="accent1" w:themeShade="BF"/>
      <w:sz w:val="24"/>
      <w:szCs w:val="24"/>
      <w:lang w:eastAsia="it-IT"/>
    </w:rPr>
  </w:style>
  <w:style w:type="character" w:customStyle="1" w:styleId="Titolo3Carattere">
    <w:name w:val="Titolo 3 Carattere"/>
    <w:basedOn w:val="Carpredefinitoparagrafo"/>
    <w:link w:val="Titolo3"/>
    <w:uiPriority w:val="9"/>
    <w:rsid w:val="00310864"/>
    <w:rPr>
      <w:rFonts w:ascii="Calibri" w:eastAsiaTheme="majorEastAsia" w:hAnsi="Calibri" w:cstheme="majorBidi"/>
      <w:b/>
      <w:color w:val="2F5496" w:themeColor="accent1" w:themeShade="BF"/>
      <w:sz w:val="24"/>
      <w:szCs w:val="24"/>
    </w:rPr>
  </w:style>
  <w:style w:type="paragraph" w:styleId="Titolo">
    <w:name w:val="Title"/>
    <w:basedOn w:val="Normale"/>
    <w:next w:val="Normale"/>
    <w:link w:val="TitoloCarattere"/>
    <w:uiPriority w:val="10"/>
    <w:qFormat/>
    <w:rsid w:val="00310864"/>
    <w:pPr>
      <w:spacing w:before="240" w:after="240"/>
      <w:contextualSpacing/>
    </w:pPr>
    <w:rPr>
      <w:rFonts w:eastAsiaTheme="majorEastAsia" w:cstheme="majorBidi"/>
      <w:b/>
      <w:color w:val="2F5496" w:themeColor="accent1" w:themeShade="BF"/>
      <w:spacing w:val="-10"/>
      <w:kern w:val="28"/>
      <w:sz w:val="32"/>
      <w:szCs w:val="56"/>
    </w:rPr>
  </w:style>
  <w:style w:type="character" w:customStyle="1" w:styleId="TitoloCarattere">
    <w:name w:val="Titolo Carattere"/>
    <w:basedOn w:val="Carpredefinitoparagrafo"/>
    <w:link w:val="Titolo"/>
    <w:uiPriority w:val="10"/>
    <w:rsid w:val="00310864"/>
    <w:rPr>
      <w:rFonts w:ascii="Calibri" w:eastAsiaTheme="majorEastAsia" w:hAnsi="Calibri" w:cstheme="majorBidi"/>
      <w:b/>
      <w:color w:val="2F5496" w:themeColor="accent1" w:themeShade="BF"/>
      <w:spacing w:val="-10"/>
      <w:kern w:val="28"/>
      <w:sz w:val="32"/>
      <w:szCs w:val="56"/>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unhideWhenUsed/>
    <w:qFormat/>
    <w:rsid w:val="0097334F"/>
    <w:pPr>
      <w:widowControl w:val="0"/>
      <w:tabs>
        <w:tab w:val="left" w:pos="284"/>
      </w:tabs>
      <w:autoSpaceDE w:val="0"/>
      <w:autoSpaceDN w:val="0"/>
      <w:ind w:left="284" w:hanging="284"/>
    </w:pPr>
    <w:rPr>
      <w:rFonts w:eastAsia="Calibri" w:cs="Calibri"/>
      <w:sz w:val="16"/>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qFormat/>
    <w:rsid w:val="0097334F"/>
    <w:rPr>
      <w:rFonts w:ascii="Calibri" w:eastAsia="Calibri" w:hAnsi="Calibri" w:cs="Calibri"/>
      <w:sz w:val="16"/>
      <w:szCs w:val="20"/>
    </w:rPr>
  </w:style>
  <w:style w:type="paragraph" w:styleId="Paragrafoelenco">
    <w:name w:val="List Paragraph"/>
    <w:aliases w:val="Elenco_2,Question,Normal bullet 2,Elenco VOX,Paragrafo elenco1,Bullet list,Numbered List,Elenco num ARGEA,Titolo linee di attività,List Paragraph1,Table of contents numbered,Bullet 1,1st level - Bullet List Paragraph,List Paragraph"/>
    <w:basedOn w:val="Normale"/>
    <w:link w:val="ParagrafoelencoCarattere"/>
    <w:uiPriority w:val="1"/>
    <w:qFormat/>
    <w:rsid w:val="00772EC2"/>
    <w:pPr>
      <w:ind w:left="720"/>
      <w:contextualSpacing/>
    </w:pPr>
  </w:style>
  <w:style w:type="character" w:styleId="Rimandonotaapidipagina">
    <w:name w:val="footnote reference"/>
    <w:aliases w:val="Footnote symbol,Rimando nota a piè di pagina1,footnote sign,BVI fnr,Voetnootverwijzing,Nota a piè di pagina,(Footnote Reference),SUPERS,EN Footnote Reference,Footnote number,fr,o,Footnotemark,FR,Footnotemark1,Footnotemark2"/>
    <w:basedOn w:val="Carpredefinitoparagrafo"/>
    <w:uiPriority w:val="99"/>
    <w:unhideWhenUsed/>
    <w:qFormat/>
    <w:rsid w:val="00772EC2"/>
    <w:rPr>
      <w:vertAlign w:val="superscript"/>
    </w:rPr>
  </w:style>
  <w:style w:type="character" w:styleId="Rimandocommento">
    <w:name w:val="annotation reference"/>
    <w:basedOn w:val="Carpredefinitoparagrafo"/>
    <w:uiPriority w:val="99"/>
    <w:semiHidden/>
    <w:unhideWhenUsed/>
    <w:rsid w:val="00772EC2"/>
    <w:rPr>
      <w:sz w:val="16"/>
      <w:szCs w:val="16"/>
    </w:rPr>
  </w:style>
  <w:style w:type="paragraph" w:styleId="Testocommento">
    <w:name w:val="annotation text"/>
    <w:basedOn w:val="Normale"/>
    <w:link w:val="TestocommentoCarattere"/>
    <w:uiPriority w:val="99"/>
    <w:unhideWhenUsed/>
    <w:rsid w:val="00772EC2"/>
    <w:rPr>
      <w:szCs w:val="20"/>
    </w:rPr>
  </w:style>
  <w:style w:type="character" w:customStyle="1" w:styleId="TestocommentoCarattere">
    <w:name w:val="Testo commento Carattere"/>
    <w:basedOn w:val="Carpredefinitoparagrafo"/>
    <w:link w:val="Testocommento"/>
    <w:uiPriority w:val="99"/>
    <w:rsid w:val="00772EC2"/>
    <w:rPr>
      <w:rFonts w:ascii="Calibri" w:eastAsia="Times New Roman" w:hAnsi="Calibri" w:cs="Times New Roman"/>
      <w:sz w:val="20"/>
      <w:szCs w:val="20"/>
      <w:lang w:eastAsia="it-IT"/>
    </w:rPr>
  </w:style>
  <w:style w:type="table" w:styleId="Grigliatabella">
    <w:name w:val="Table Grid"/>
    <w:basedOn w:val="Tabellanormale"/>
    <w:uiPriority w:val="39"/>
    <w:rsid w:val="00772EC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591677"/>
    <w:rPr>
      <w:b/>
      <w:bCs/>
    </w:rPr>
  </w:style>
  <w:style w:type="character" w:customStyle="1" w:styleId="SoggettocommentoCarattere">
    <w:name w:val="Soggetto commento Carattere"/>
    <w:basedOn w:val="TestocommentoCarattere"/>
    <w:link w:val="Soggettocommento"/>
    <w:uiPriority w:val="99"/>
    <w:semiHidden/>
    <w:rsid w:val="00591677"/>
    <w:rPr>
      <w:rFonts w:ascii="Calibri" w:eastAsia="Times New Roman" w:hAnsi="Calibri" w:cs="Times New Roman"/>
      <w:b/>
      <w:bCs/>
      <w:sz w:val="20"/>
      <w:szCs w:val="20"/>
      <w:lang w:eastAsia="it-IT"/>
    </w:rPr>
  </w:style>
  <w:style w:type="table" w:customStyle="1" w:styleId="Tabellagriglia5scura-colore61">
    <w:name w:val="Tabella griglia 5 scura - colore 61"/>
    <w:basedOn w:val="Tabellanormale"/>
    <w:uiPriority w:val="50"/>
    <w:rsid w:val="00C5424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Intestazione">
    <w:name w:val="header"/>
    <w:basedOn w:val="Normale"/>
    <w:link w:val="IntestazioneCarattere"/>
    <w:uiPriority w:val="99"/>
    <w:unhideWhenUsed/>
    <w:rsid w:val="00D62C5A"/>
    <w:pPr>
      <w:tabs>
        <w:tab w:val="center" w:pos="4819"/>
        <w:tab w:val="right" w:pos="9638"/>
      </w:tabs>
    </w:pPr>
  </w:style>
  <w:style w:type="character" w:customStyle="1" w:styleId="IntestazioneCarattere">
    <w:name w:val="Intestazione Carattere"/>
    <w:basedOn w:val="Carpredefinitoparagrafo"/>
    <w:link w:val="Intestazione"/>
    <w:uiPriority w:val="99"/>
    <w:rsid w:val="00D62C5A"/>
    <w:rPr>
      <w:rFonts w:ascii="Calibri" w:eastAsia="Times New Roman" w:hAnsi="Calibri" w:cs="Times New Roman"/>
      <w:sz w:val="24"/>
      <w:szCs w:val="24"/>
      <w:lang w:eastAsia="it-IT"/>
    </w:rPr>
  </w:style>
  <w:style w:type="paragraph" w:styleId="Pidipagina">
    <w:name w:val="footer"/>
    <w:basedOn w:val="Normale"/>
    <w:link w:val="PidipaginaCarattere"/>
    <w:uiPriority w:val="99"/>
    <w:unhideWhenUsed/>
    <w:rsid w:val="00D62C5A"/>
    <w:pPr>
      <w:tabs>
        <w:tab w:val="center" w:pos="4819"/>
        <w:tab w:val="right" w:pos="9638"/>
      </w:tabs>
    </w:pPr>
  </w:style>
  <w:style w:type="character" w:customStyle="1" w:styleId="PidipaginaCarattere">
    <w:name w:val="Piè di pagina Carattere"/>
    <w:basedOn w:val="Carpredefinitoparagrafo"/>
    <w:link w:val="Pidipagina"/>
    <w:uiPriority w:val="99"/>
    <w:rsid w:val="00D62C5A"/>
    <w:rPr>
      <w:rFonts w:ascii="Calibri" w:eastAsia="Times New Roman" w:hAnsi="Calibri" w:cs="Times New Roman"/>
      <w:sz w:val="24"/>
      <w:szCs w:val="24"/>
      <w:lang w:eastAsia="it-IT"/>
    </w:rPr>
  </w:style>
  <w:style w:type="paragraph" w:styleId="Sommario1">
    <w:name w:val="toc 1"/>
    <w:basedOn w:val="Normale"/>
    <w:next w:val="Normale"/>
    <w:autoRedefine/>
    <w:uiPriority w:val="39"/>
    <w:unhideWhenUsed/>
    <w:qFormat/>
    <w:rsid w:val="00BB04C7"/>
    <w:pPr>
      <w:spacing w:before="120" w:after="120"/>
      <w:jc w:val="left"/>
    </w:pPr>
    <w:rPr>
      <w:rFonts w:asciiTheme="minorHAnsi" w:hAnsiTheme="minorHAnsi" w:cstheme="minorHAnsi"/>
      <w:b/>
      <w:bCs/>
      <w:caps/>
      <w:szCs w:val="20"/>
    </w:rPr>
  </w:style>
  <w:style w:type="paragraph" w:styleId="Sommario2">
    <w:name w:val="toc 2"/>
    <w:basedOn w:val="Normale"/>
    <w:next w:val="Normale"/>
    <w:autoRedefine/>
    <w:uiPriority w:val="39"/>
    <w:unhideWhenUsed/>
    <w:qFormat/>
    <w:rsid w:val="00BB04C7"/>
    <w:pPr>
      <w:ind w:left="200"/>
      <w:jc w:val="left"/>
    </w:pPr>
    <w:rPr>
      <w:rFonts w:asciiTheme="minorHAnsi" w:hAnsiTheme="minorHAnsi" w:cstheme="minorHAnsi"/>
      <w:smallCaps/>
      <w:szCs w:val="20"/>
    </w:rPr>
  </w:style>
  <w:style w:type="paragraph" w:styleId="Sommario3">
    <w:name w:val="toc 3"/>
    <w:basedOn w:val="Normale"/>
    <w:next w:val="Normale"/>
    <w:autoRedefine/>
    <w:uiPriority w:val="39"/>
    <w:unhideWhenUsed/>
    <w:rsid w:val="00BB04C7"/>
    <w:pPr>
      <w:ind w:left="400"/>
      <w:jc w:val="left"/>
    </w:pPr>
    <w:rPr>
      <w:rFonts w:asciiTheme="minorHAnsi" w:hAnsiTheme="minorHAnsi" w:cstheme="minorHAnsi"/>
      <w:i/>
      <w:iCs/>
      <w:szCs w:val="20"/>
    </w:rPr>
  </w:style>
  <w:style w:type="paragraph" w:styleId="Sommario4">
    <w:name w:val="toc 4"/>
    <w:basedOn w:val="Normale"/>
    <w:next w:val="Normale"/>
    <w:autoRedefine/>
    <w:uiPriority w:val="1"/>
    <w:unhideWhenUsed/>
    <w:rsid w:val="00BB04C7"/>
    <w:pPr>
      <w:ind w:left="600"/>
      <w:jc w:val="left"/>
    </w:pPr>
    <w:rPr>
      <w:rFonts w:asciiTheme="minorHAnsi" w:hAnsiTheme="minorHAnsi" w:cstheme="minorHAnsi"/>
      <w:sz w:val="18"/>
      <w:szCs w:val="18"/>
    </w:rPr>
  </w:style>
  <w:style w:type="paragraph" w:styleId="Sommario5">
    <w:name w:val="toc 5"/>
    <w:basedOn w:val="Normale"/>
    <w:next w:val="Normale"/>
    <w:autoRedefine/>
    <w:uiPriority w:val="1"/>
    <w:unhideWhenUsed/>
    <w:rsid w:val="00BB04C7"/>
    <w:pPr>
      <w:ind w:left="800"/>
      <w:jc w:val="left"/>
    </w:pPr>
    <w:rPr>
      <w:rFonts w:asciiTheme="minorHAnsi" w:hAnsiTheme="minorHAnsi" w:cstheme="minorHAnsi"/>
      <w:sz w:val="18"/>
      <w:szCs w:val="18"/>
    </w:rPr>
  </w:style>
  <w:style w:type="paragraph" w:styleId="Sommario6">
    <w:name w:val="toc 6"/>
    <w:basedOn w:val="Normale"/>
    <w:next w:val="Normale"/>
    <w:autoRedefine/>
    <w:uiPriority w:val="1"/>
    <w:unhideWhenUsed/>
    <w:rsid w:val="00BB04C7"/>
    <w:pPr>
      <w:ind w:left="1000"/>
      <w:jc w:val="left"/>
    </w:pPr>
    <w:rPr>
      <w:rFonts w:asciiTheme="minorHAnsi" w:hAnsiTheme="minorHAnsi" w:cstheme="minorHAnsi"/>
      <w:sz w:val="18"/>
      <w:szCs w:val="18"/>
    </w:rPr>
  </w:style>
  <w:style w:type="paragraph" w:styleId="Sommario7">
    <w:name w:val="toc 7"/>
    <w:basedOn w:val="Normale"/>
    <w:next w:val="Normale"/>
    <w:autoRedefine/>
    <w:uiPriority w:val="39"/>
    <w:unhideWhenUsed/>
    <w:rsid w:val="00BB04C7"/>
    <w:pPr>
      <w:ind w:left="120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BB04C7"/>
    <w:pPr>
      <w:ind w:left="140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BB04C7"/>
    <w:pPr>
      <w:ind w:left="1600"/>
      <w:jc w:val="left"/>
    </w:pPr>
    <w:rPr>
      <w:rFonts w:asciiTheme="minorHAnsi" w:hAnsiTheme="minorHAnsi" w:cstheme="minorHAnsi"/>
      <w:sz w:val="18"/>
      <w:szCs w:val="18"/>
    </w:rPr>
  </w:style>
  <w:style w:type="character" w:styleId="Collegamentoipertestuale">
    <w:name w:val="Hyperlink"/>
    <w:basedOn w:val="Carpredefinitoparagrafo"/>
    <w:uiPriority w:val="99"/>
    <w:unhideWhenUsed/>
    <w:rsid w:val="00BB04C7"/>
    <w:rPr>
      <w:color w:val="0563C1" w:themeColor="hyperlink"/>
      <w:u w:val="single"/>
    </w:rPr>
  </w:style>
  <w:style w:type="character" w:customStyle="1" w:styleId="ParagrafoelencoCarattere">
    <w:name w:val="Paragrafo elenco Carattere"/>
    <w:aliases w:val="Elenco_2 Carattere,Question Carattere,Normal bullet 2 Carattere,Elenco VOX Carattere,Paragrafo elenco1 Carattere,Bullet list Carattere,Numbered List Carattere,Elenco num ARGEA Carattere,Titolo linee di attività Carattere"/>
    <w:link w:val="Paragrafoelenco"/>
    <w:uiPriority w:val="1"/>
    <w:qFormat/>
    <w:locked/>
    <w:rsid w:val="00D174DE"/>
    <w:rPr>
      <w:rFonts w:ascii="Calibri" w:eastAsia="Times New Roman" w:hAnsi="Calibri" w:cs="Times New Roman"/>
      <w:sz w:val="20"/>
      <w:szCs w:val="24"/>
      <w:lang w:eastAsia="it-IT"/>
    </w:rPr>
  </w:style>
  <w:style w:type="character" w:customStyle="1" w:styleId="Titolo5Carattere">
    <w:name w:val="Titolo 5 Carattere"/>
    <w:basedOn w:val="Carpredefinitoparagrafo"/>
    <w:link w:val="Titolo5"/>
    <w:uiPriority w:val="9"/>
    <w:rsid w:val="00664A79"/>
    <w:rPr>
      <w:rFonts w:asciiTheme="majorHAnsi" w:eastAsiaTheme="majorEastAsia" w:hAnsiTheme="majorHAnsi" w:cstheme="majorBidi"/>
      <w:color w:val="2F5496" w:themeColor="accent1" w:themeShade="BF"/>
      <w:sz w:val="20"/>
      <w:szCs w:val="24"/>
      <w:lang w:eastAsia="it-IT"/>
    </w:rPr>
  </w:style>
  <w:style w:type="character" w:customStyle="1" w:styleId="Titolo6Carattere">
    <w:name w:val="Titolo 6 Carattere"/>
    <w:basedOn w:val="Carpredefinitoparagrafo"/>
    <w:link w:val="Titolo6"/>
    <w:uiPriority w:val="9"/>
    <w:rsid w:val="00664A79"/>
    <w:rPr>
      <w:rFonts w:ascii="Arial" w:eastAsia="Arial" w:hAnsi="Arial" w:cs="Arial"/>
      <w:b/>
      <w:bCs/>
      <w:sz w:val="19"/>
      <w:szCs w:val="19"/>
    </w:rPr>
  </w:style>
  <w:style w:type="paragraph" w:styleId="Titolosommario">
    <w:name w:val="TOC Heading"/>
    <w:basedOn w:val="Titolo1"/>
    <w:next w:val="Normale"/>
    <w:uiPriority w:val="39"/>
    <w:unhideWhenUsed/>
    <w:qFormat/>
    <w:rsid w:val="00664A79"/>
    <w:pPr>
      <w:spacing w:after="0" w:line="259" w:lineRule="auto"/>
      <w:jc w:val="left"/>
      <w:outlineLvl w:val="9"/>
    </w:pPr>
    <w:rPr>
      <w:rFonts w:asciiTheme="majorHAnsi" w:hAnsiTheme="majorHAnsi"/>
      <w:b w:val="0"/>
      <w:caps w:val="0"/>
      <w:sz w:val="32"/>
    </w:rPr>
  </w:style>
  <w:style w:type="paragraph" w:styleId="Revisione">
    <w:name w:val="Revision"/>
    <w:hidden/>
    <w:uiPriority w:val="99"/>
    <w:semiHidden/>
    <w:rsid w:val="00664A79"/>
    <w:pPr>
      <w:spacing w:after="0" w:line="240" w:lineRule="auto"/>
    </w:pPr>
    <w:rPr>
      <w:rFonts w:ascii="Titillium Web" w:eastAsiaTheme="minorEastAsia" w:hAnsi="Titillium Web"/>
      <w:szCs w:val="21"/>
    </w:rPr>
  </w:style>
  <w:style w:type="paragraph" w:styleId="Corpotesto">
    <w:name w:val="Body Text"/>
    <w:basedOn w:val="Normale"/>
    <w:link w:val="CorpotestoCarattere"/>
    <w:uiPriority w:val="1"/>
    <w:rsid w:val="00664A79"/>
    <w:pPr>
      <w:widowControl w:val="0"/>
      <w:autoSpaceDE w:val="0"/>
      <w:autoSpaceDN w:val="0"/>
      <w:spacing w:line="276" w:lineRule="auto"/>
      <w:jc w:val="left"/>
    </w:pPr>
    <w:rPr>
      <w:rFonts w:ascii="Cambria" w:eastAsia="Cambria" w:hAnsi="Cambria" w:cs="Cambria"/>
      <w:sz w:val="19"/>
      <w:szCs w:val="19"/>
      <w:lang w:eastAsia="en-US"/>
    </w:rPr>
  </w:style>
  <w:style w:type="character" w:customStyle="1" w:styleId="CorpotestoCarattere">
    <w:name w:val="Corpo testo Carattere"/>
    <w:basedOn w:val="Carpredefinitoparagrafo"/>
    <w:link w:val="Corpotesto"/>
    <w:uiPriority w:val="1"/>
    <w:rsid w:val="00664A79"/>
    <w:rPr>
      <w:rFonts w:ascii="Cambria" w:eastAsia="Cambria" w:hAnsi="Cambria" w:cs="Cambria"/>
      <w:sz w:val="19"/>
      <w:szCs w:val="19"/>
    </w:rPr>
  </w:style>
  <w:style w:type="table" w:customStyle="1" w:styleId="TableNormal1">
    <w:name w:val="Table Normal1"/>
    <w:uiPriority w:val="2"/>
    <w:unhideWhenUsed/>
    <w:qFormat/>
    <w:rsid w:val="00664A7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64A79"/>
    <w:pPr>
      <w:widowControl w:val="0"/>
      <w:autoSpaceDE w:val="0"/>
      <w:autoSpaceDN w:val="0"/>
      <w:spacing w:line="276" w:lineRule="auto"/>
      <w:jc w:val="left"/>
    </w:pPr>
    <w:rPr>
      <w:rFonts w:ascii="Arial" w:eastAsia="Arial" w:hAnsi="Arial" w:cs="Arial"/>
      <w:sz w:val="22"/>
      <w:szCs w:val="22"/>
      <w:lang w:eastAsia="en-US"/>
    </w:rPr>
  </w:style>
  <w:style w:type="paragraph" w:styleId="NormaleWeb">
    <w:name w:val="Normal (Web)"/>
    <w:basedOn w:val="Normale"/>
    <w:uiPriority w:val="99"/>
    <w:semiHidden/>
    <w:unhideWhenUsed/>
    <w:rsid w:val="00664A79"/>
    <w:pPr>
      <w:spacing w:before="100" w:beforeAutospacing="1" w:after="100" w:afterAutospacing="1" w:line="276" w:lineRule="auto"/>
      <w:jc w:val="left"/>
    </w:pPr>
    <w:rPr>
      <w:rFonts w:ascii="Times New Roman" w:hAnsi="Times New Roman"/>
      <w:sz w:val="24"/>
    </w:rPr>
  </w:style>
  <w:style w:type="paragraph" w:styleId="Didascalia">
    <w:name w:val="caption"/>
    <w:basedOn w:val="Normale"/>
    <w:next w:val="Normale"/>
    <w:uiPriority w:val="35"/>
    <w:unhideWhenUsed/>
    <w:qFormat/>
    <w:rsid w:val="00664A79"/>
    <w:pPr>
      <w:spacing w:after="200" w:line="276" w:lineRule="auto"/>
      <w:jc w:val="left"/>
    </w:pPr>
    <w:rPr>
      <w:rFonts w:eastAsia="Calibri" w:cs="Calibri"/>
      <w:i/>
      <w:iCs/>
      <w:color w:val="44546A" w:themeColor="text2"/>
      <w:sz w:val="18"/>
      <w:szCs w:val="18"/>
    </w:rPr>
  </w:style>
  <w:style w:type="character" w:styleId="Testosegnaposto">
    <w:name w:val="Placeholder Text"/>
    <w:basedOn w:val="Carpredefinitoparagrafo"/>
    <w:uiPriority w:val="99"/>
    <w:semiHidden/>
    <w:rsid w:val="00664A79"/>
    <w:rPr>
      <w:color w:val="808080"/>
    </w:rPr>
  </w:style>
  <w:style w:type="paragraph" w:styleId="Sottotitolo">
    <w:name w:val="Subtitle"/>
    <w:basedOn w:val="Normale"/>
    <w:next w:val="Normale"/>
    <w:link w:val="SottotitoloCarattere"/>
    <w:uiPriority w:val="11"/>
    <w:qFormat/>
    <w:rsid w:val="00664A79"/>
    <w:pPr>
      <w:keepNext/>
      <w:keepLines/>
      <w:spacing w:before="360" w:after="80" w:line="259" w:lineRule="auto"/>
    </w:pPr>
    <w:rPr>
      <w:rFonts w:ascii="Georgia" w:eastAsia="Georgia" w:hAnsi="Georgia" w:cs="Georgia"/>
      <w:i/>
      <w:color w:val="666666"/>
      <w:sz w:val="48"/>
      <w:szCs w:val="48"/>
    </w:rPr>
  </w:style>
  <w:style w:type="character" w:customStyle="1" w:styleId="SottotitoloCarattere">
    <w:name w:val="Sottotitolo Carattere"/>
    <w:basedOn w:val="Carpredefinitoparagrafo"/>
    <w:link w:val="Sottotitolo"/>
    <w:uiPriority w:val="11"/>
    <w:rsid w:val="00664A79"/>
    <w:rPr>
      <w:rFonts w:ascii="Georgia" w:eastAsia="Georgia" w:hAnsi="Georgia" w:cs="Georgia"/>
      <w:i/>
      <w:color w:val="666666"/>
      <w:sz w:val="48"/>
      <w:szCs w:val="48"/>
      <w:lang w:eastAsia="it-IT"/>
    </w:rPr>
  </w:style>
  <w:style w:type="paragraph" w:customStyle="1" w:styleId="CM1">
    <w:name w:val="CM1"/>
    <w:basedOn w:val="Normale"/>
    <w:next w:val="Normale"/>
    <w:uiPriority w:val="99"/>
    <w:rsid w:val="00664A79"/>
    <w:pPr>
      <w:autoSpaceDE w:val="0"/>
      <w:autoSpaceDN w:val="0"/>
      <w:adjustRightInd w:val="0"/>
      <w:spacing w:line="276" w:lineRule="auto"/>
      <w:jc w:val="left"/>
    </w:pPr>
    <w:rPr>
      <w:rFonts w:ascii="Times New Roman" w:eastAsiaTheme="minorHAnsi" w:hAnsi="Times New Roman"/>
      <w:sz w:val="24"/>
      <w:lang w:eastAsia="en-US"/>
    </w:rPr>
  </w:style>
  <w:style w:type="paragraph" w:customStyle="1" w:styleId="CM3">
    <w:name w:val="CM3"/>
    <w:basedOn w:val="Normale"/>
    <w:next w:val="Normale"/>
    <w:uiPriority w:val="99"/>
    <w:rsid w:val="00664A79"/>
    <w:pPr>
      <w:autoSpaceDE w:val="0"/>
      <w:autoSpaceDN w:val="0"/>
      <w:adjustRightInd w:val="0"/>
      <w:spacing w:line="276" w:lineRule="auto"/>
      <w:jc w:val="left"/>
    </w:pPr>
    <w:rPr>
      <w:rFonts w:ascii="Times New Roman" w:eastAsiaTheme="minorHAnsi" w:hAnsi="Times New Roman"/>
      <w:sz w:val="24"/>
      <w:lang w:eastAsia="en-US"/>
    </w:rPr>
  </w:style>
  <w:style w:type="paragraph" w:customStyle="1" w:styleId="Sommario11">
    <w:name w:val="Sommario 11"/>
    <w:basedOn w:val="Normale"/>
    <w:uiPriority w:val="1"/>
    <w:rsid w:val="00664A79"/>
    <w:pPr>
      <w:widowControl w:val="0"/>
      <w:autoSpaceDE w:val="0"/>
      <w:autoSpaceDN w:val="0"/>
      <w:spacing w:before="99" w:line="276" w:lineRule="auto"/>
      <w:ind w:left="774" w:hanging="561"/>
      <w:jc w:val="left"/>
    </w:pPr>
    <w:rPr>
      <w:rFonts w:eastAsia="Calibri" w:cs="Calibri"/>
      <w:b/>
      <w:bCs/>
      <w:sz w:val="24"/>
      <w:lang w:val="en-US" w:eastAsia="en-US"/>
    </w:rPr>
  </w:style>
  <w:style w:type="paragraph" w:customStyle="1" w:styleId="Sommario21">
    <w:name w:val="Sommario 21"/>
    <w:basedOn w:val="Normale"/>
    <w:uiPriority w:val="1"/>
    <w:rsid w:val="00664A79"/>
    <w:pPr>
      <w:widowControl w:val="0"/>
      <w:autoSpaceDE w:val="0"/>
      <w:autoSpaceDN w:val="0"/>
      <w:spacing w:before="100" w:line="276" w:lineRule="auto"/>
      <w:ind w:left="1347" w:hanging="567"/>
      <w:jc w:val="left"/>
    </w:pPr>
    <w:rPr>
      <w:rFonts w:eastAsia="Calibri" w:cs="Calibri"/>
      <w:sz w:val="22"/>
      <w:szCs w:val="22"/>
      <w:lang w:val="en-US" w:eastAsia="en-US"/>
    </w:rPr>
  </w:style>
  <w:style w:type="paragraph" w:customStyle="1" w:styleId="Titolo11">
    <w:name w:val="Titolo 11"/>
    <w:basedOn w:val="Normale"/>
    <w:uiPriority w:val="1"/>
    <w:rsid w:val="00664A79"/>
    <w:pPr>
      <w:widowControl w:val="0"/>
      <w:autoSpaceDE w:val="0"/>
      <w:autoSpaceDN w:val="0"/>
      <w:spacing w:line="276" w:lineRule="auto"/>
      <w:jc w:val="left"/>
      <w:outlineLvl w:val="1"/>
    </w:pPr>
    <w:rPr>
      <w:rFonts w:eastAsia="Calibri" w:cs="Calibri"/>
      <w:b/>
      <w:bCs/>
      <w:sz w:val="36"/>
      <w:szCs w:val="36"/>
      <w:lang w:val="en-US" w:eastAsia="en-US"/>
    </w:rPr>
  </w:style>
  <w:style w:type="paragraph" w:customStyle="1" w:styleId="Titolo21">
    <w:name w:val="Titolo 21"/>
    <w:basedOn w:val="Normale"/>
    <w:uiPriority w:val="1"/>
    <w:rsid w:val="00664A79"/>
    <w:pPr>
      <w:widowControl w:val="0"/>
      <w:autoSpaceDE w:val="0"/>
      <w:autoSpaceDN w:val="0"/>
      <w:spacing w:line="276" w:lineRule="auto"/>
      <w:ind w:left="645" w:hanging="432"/>
      <w:outlineLvl w:val="2"/>
    </w:pPr>
    <w:rPr>
      <w:rFonts w:eastAsia="Calibri" w:cs="Calibri"/>
      <w:b/>
      <w:bCs/>
      <w:sz w:val="28"/>
      <w:szCs w:val="28"/>
      <w:lang w:val="en-US" w:eastAsia="en-US"/>
    </w:rPr>
  </w:style>
  <w:style w:type="paragraph" w:customStyle="1" w:styleId="Titolo31">
    <w:name w:val="Titolo 31"/>
    <w:basedOn w:val="Normale"/>
    <w:uiPriority w:val="1"/>
    <w:rsid w:val="00664A79"/>
    <w:pPr>
      <w:widowControl w:val="0"/>
      <w:autoSpaceDE w:val="0"/>
      <w:autoSpaceDN w:val="0"/>
      <w:spacing w:line="276" w:lineRule="auto"/>
      <w:ind w:left="215"/>
      <w:jc w:val="left"/>
      <w:outlineLvl w:val="3"/>
    </w:pPr>
    <w:rPr>
      <w:rFonts w:eastAsia="Calibri" w:cs="Calibri"/>
      <w:b/>
      <w:bCs/>
      <w:sz w:val="24"/>
      <w:lang w:val="en-US" w:eastAsia="en-US"/>
    </w:rPr>
  </w:style>
  <w:style w:type="paragraph" w:customStyle="1" w:styleId="Titolo41">
    <w:name w:val="Titolo 41"/>
    <w:basedOn w:val="Normale"/>
    <w:uiPriority w:val="1"/>
    <w:rsid w:val="00664A79"/>
    <w:pPr>
      <w:widowControl w:val="0"/>
      <w:autoSpaceDE w:val="0"/>
      <w:autoSpaceDN w:val="0"/>
      <w:spacing w:before="120" w:line="276" w:lineRule="auto"/>
      <w:ind w:left="214"/>
      <w:outlineLvl w:val="4"/>
    </w:pPr>
    <w:rPr>
      <w:rFonts w:eastAsia="Calibri" w:cs="Calibri"/>
      <w:b/>
      <w:bCs/>
      <w:sz w:val="24"/>
      <w:u w:val="single" w:color="000000"/>
      <w:lang w:val="en-US" w:eastAsia="en-US"/>
    </w:rPr>
  </w:style>
  <w:style w:type="paragraph" w:styleId="Testofumetto">
    <w:name w:val="Balloon Text"/>
    <w:basedOn w:val="Normale"/>
    <w:link w:val="TestofumettoCarattere"/>
    <w:uiPriority w:val="99"/>
    <w:semiHidden/>
    <w:unhideWhenUsed/>
    <w:rsid w:val="00664A79"/>
    <w:pPr>
      <w:widowControl w:val="0"/>
      <w:autoSpaceDE w:val="0"/>
      <w:autoSpaceDN w:val="0"/>
      <w:spacing w:line="276" w:lineRule="auto"/>
      <w:jc w:val="left"/>
    </w:pPr>
    <w:rPr>
      <w:rFonts w:ascii="Tahoma" w:eastAsia="Verdana" w:hAnsi="Tahoma" w:cs="Tahoma"/>
      <w:sz w:val="16"/>
      <w:szCs w:val="16"/>
      <w:lang w:val="en-US" w:eastAsia="en-US"/>
    </w:rPr>
  </w:style>
  <w:style w:type="character" w:customStyle="1" w:styleId="TestofumettoCarattere">
    <w:name w:val="Testo fumetto Carattere"/>
    <w:basedOn w:val="Carpredefinitoparagrafo"/>
    <w:link w:val="Testofumetto"/>
    <w:uiPriority w:val="99"/>
    <w:semiHidden/>
    <w:rsid w:val="00664A79"/>
    <w:rPr>
      <w:rFonts w:ascii="Tahoma" w:eastAsia="Verdana" w:hAnsi="Tahoma" w:cs="Tahoma"/>
      <w:sz w:val="16"/>
      <w:szCs w:val="16"/>
      <w:lang w:val="en-US"/>
    </w:rPr>
  </w:style>
  <w:style w:type="table" w:styleId="Elencochiaro-Colore5">
    <w:name w:val="Light List Accent 5"/>
    <w:basedOn w:val="Tabellanormale"/>
    <w:uiPriority w:val="61"/>
    <w:rsid w:val="00664A79"/>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Elencochiaro-Colore3">
    <w:name w:val="Light List Accent 3"/>
    <w:basedOn w:val="Tabellanormale"/>
    <w:uiPriority w:val="61"/>
    <w:rsid w:val="00664A79"/>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Default">
    <w:name w:val="Default"/>
    <w:rsid w:val="00664A79"/>
    <w:pPr>
      <w:autoSpaceDE w:val="0"/>
      <w:autoSpaceDN w:val="0"/>
      <w:adjustRightInd w:val="0"/>
      <w:spacing w:after="0" w:line="240" w:lineRule="auto"/>
    </w:pPr>
    <w:rPr>
      <w:rFonts w:ascii="Raleway Thin" w:hAnsi="Raleway Thin" w:cs="Raleway Thin"/>
      <w:color w:val="000000"/>
      <w:sz w:val="24"/>
      <w:szCs w:val="24"/>
    </w:rPr>
  </w:style>
  <w:style w:type="paragraph" w:customStyle="1" w:styleId="Titolo12">
    <w:name w:val="Titolo 12"/>
    <w:basedOn w:val="Normale"/>
    <w:rsid w:val="00664A79"/>
    <w:pPr>
      <w:numPr>
        <w:numId w:val="24"/>
      </w:numPr>
      <w:spacing w:before="60" w:after="60" w:line="276" w:lineRule="auto"/>
    </w:pPr>
    <w:rPr>
      <w:rFonts w:ascii="Titillium Web" w:eastAsiaTheme="minorEastAsia" w:hAnsi="Titillium Web" w:cstheme="minorBidi"/>
      <w:sz w:val="22"/>
      <w:szCs w:val="21"/>
      <w:lang w:eastAsia="en-US"/>
    </w:rPr>
  </w:style>
  <w:style w:type="paragraph" w:customStyle="1" w:styleId="Titolo22">
    <w:name w:val="Titolo 22"/>
    <w:basedOn w:val="Normale"/>
    <w:rsid w:val="00664A79"/>
    <w:pPr>
      <w:numPr>
        <w:ilvl w:val="1"/>
        <w:numId w:val="24"/>
      </w:numPr>
      <w:spacing w:before="60" w:after="60" w:line="276" w:lineRule="auto"/>
    </w:pPr>
    <w:rPr>
      <w:rFonts w:ascii="Titillium Web" w:eastAsiaTheme="minorEastAsia" w:hAnsi="Titillium Web" w:cstheme="minorBidi"/>
      <w:sz w:val="22"/>
      <w:szCs w:val="21"/>
      <w:lang w:eastAsia="en-US"/>
    </w:rPr>
  </w:style>
  <w:style w:type="paragraph" w:customStyle="1" w:styleId="Titolo32">
    <w:name w:val="Titolo 32"/>
    <w:basedOn w:val="Normale"/>
    <w:rsid w:val="00664A79"/>
    <w:pPr>
      <w:numPr>
        <w:ilvl w:val="2"/>
        <w:numId w:val="24"/>
      </w:numPr>
      <w:spacing w:before="60" w:after="60" w:line="276" w:lineRule="auto"/>
    </w:pPr>
    <w:rPr>
      <w:rFonts w:ascii="Titillium Web" w:eastAsiaTheme="minorEastAsia" w:hAnsi="Titillium Web" w:cstheme="minorBidi"/>
      <w:sz w:val="22"/>
      <w:szCs w:val="21"/>
      <w:lang w:eastAsia="en-US"/>
    </w:rPr>
  </w:style>
  <w:style w:type="paragraph" w:customStyle="1" w:styleId="Titolo42">
    <w:name w:val="Titolo 42"/>
    <w:basedOn w:val="Normale"/>
    <w:rsid w:val="00664A79"/>
    <w:pPr>
      <w:numPr>
        <w:ilvl w:val="3"/>
        <w:numId w:val="24"/>
      </w:numPr>
      <w:spacing w:before="60" w:after="60" w:line="276" w:lineRule="auto"/>
    </w:pPr>
    <w:rPr>
      <w:rFonts w:ascii="Titillium Web" w:eastAsiaTheme="minorEastAsia" w:hAnsi="Titillium Web" w:cstheme="minorBidi"/>
      <w:sz w:val="22"/>
      <w:szCs w:val="21"/>
      <w:lang w:eastAsia="en-US"/>
    </w:rPr>
  </w:style>
  <w:style w:type="paragraph" w:customStyle="1" w:styleId="Titolo51">
    <w:name w:val="Titolo 51"/>
    <w:basedOn w:val="Normale"/>
    <w:rsid w:val="00664A79"/>
    <w:pPr>
      <w:numPr>
        <w:ilvl w:val="4"/>
        <w:numId w:val="24"/>
      </w:numPr>
      <w:spacing w:before="60" w:after="60" w:line="276" w:lineRule="auto"/>
    </w:pPr>
    <w:rPr>
      <w:rFonts w:ascii="Titillium Web" w:eastAsiaTheme="minorEastAsia" w:hAnsi="Titillium Web" w:cstheme="minorBidi"/>
      <w:sz w:val="22"/>
      <w:szCs w:val="21"/>
      <w:lang w:eastAsia="en-US"/>
    </w:rPr>
  </w:style>
  <w:style w:type="paragraph" w:customStyle="1" w:styleId="Titolo61">
    <w:name w:val="Titolo 61"/>
    <w:basedOn w:val="Normale"/>
    <w:rsid w:val="00664A79"/>
    <w:pPr>
      <w:numPr>
        <w:ilvl w:val="5"/>
        <w:numId w:val="24"/>
      </w:numPr>
      <w:spacing w:before="60" w:after="60" w:line="276" w:lineRule="auto"/>
    </w:pPr>
    <w:rPr>
      <w:rFonts w:ascii="Titillium Web" w:eastAsiaTheme="minorEastAsia" w:hAnsi="Titillium Web" w:cstheme="minorBidi"/>
      <w:sz w:val="22"/>
      <w:szCs w:val="21"/>
      <w:lang w:eastAsia="en-US"/>
    </w:rPr>
  </w:style>
  <w:style w:type="paragraph" w:customStyle="1" w:styleId="Titolo71">
    <w:name w:val="Titolo 71"/>
    <w:basedOn w:val="Normale"/>
    <w:rsid w:val="00664A79"/>
    <w:pPr>
      <w:numPr>
        <w:ilvl w:val="6"/>
        <w:numId w:val="24"/>
      </w:numPr>
      <w:spacing w:before="60" w:after="60" w:line="276" w:lineRule="auto"/>
    </w:pPr>
    <w:rPr>
      <w:rFonts w:ascii="Titillium Web" w:eastAsiaTheme="minorEastAsia" w:hAnsi="Titillium Web" w:cstheme="minorBidi"/>
      <w:sz w:val="22"/>
      <w:szCs w:val="21"/>
      <w:lang w:eastAsia="en-US"/>
    </w:rPr>
  </w:style>
  <w:style w:type="paragraph" w:customStyle="1" w:styleId="Titolo81">
    <w:name w:val="Titolo 81"/>
    <w:basedOn w:val="Normale"/>
    <w:rsid w:val="00664A79"/>
    <w:pPr>
      <w:numPr>
        <w:ilvl w:val="7"/>
        <w:numId w:val="24"/>
      </w:numPr>
      <w:spacing w:before="60" w:after="60" w:line="276" w:lineRule="auto"/>
    </w:pPr>
    <w:rPr>
      <w:rFonts w:ascii="Titillium Web" w:eastAsiaTheme="minorEastAsia" w:hAnsi="Titillium Web" w:cstheme="minorBidi"/>
      <w:sz w:val="22"/>
      <w:szCs w:val="21"/>
      <w:lang w:eastAsia="en-US"/>
    </w:rPr>
  </w:style>
  <w:style w:type="paragraph" w:customStyle="1" w:styleId="Titolo91">
    <w:name w:val="Titolo 91"/>
    <w:basedOn w:val="Normale"/>
    <w:rsid w:val="00664A79"/>
    <w:pPr>
      <w:numPr>
        <w:ilvl w:val="8"/>
        <w:numId w:val="24"/>
      </w:numPr>
      <w:spacing w:before="60" w:after="60" w:line="276" w:lineRule="auto"/>
    </w:pPr>
    <w:rPr>
      <w:rFonts w:ascii="Titillium Web" w:eastAsiaTheme="minorEastAsia" w:hAnsi="Titillium Web" w:cstheme="minorBidi"/>
      <w:sz w:val="22"/>
      <w:szCs w:val="21"/>
      <w:lang w:eastAsia="en-US"/>
    </w:rPr>
  </w:style>
  <w:style w:type="paragraph" w:styleId="Indicedellefigure">
    <w:name w:val="table of figures"/>
    <w:basedOn w:val="Normale"/>
    <w:next w:val="Normale"/>
    <w:uiPriority w:val="99"/>
    <w:unhideWhenUsed/>
    <w:rsid w:val="00664A79"/>
    <w:pPr>
      <w:spacing w:before="60" w:line="276" w:lineRule="auto"/>
    </w:pPr>
    <w:rPr>
      <w:rFonts w:ascii="Titillium Web" w:eastAsiaTheme="minorEastAsia" w:hAnsi="Titillium Web" w:cstheme="minorBidi"/>
      <w:sz w:val="18"/>
      <w:szCs w:val="21"/>
      <w:lang w:eastAsia="en-US"/>
    </w:rPr>
  </w:style>
  <w:style w:type="character" w:customStyle="1" w:styleId="ui-provider">
    <w:name w:val="ui-provider"/>
    <w:basedOn w:val="Carpredefinitoparagrafo"/>
    <w:rsid w:val="00664A79"/>
  </w:style>
  <w:style w:type="character" w:customStyle="1" w:styleId="Menzionenonrisolta1">
    <w:name w:val="Menzione non risolta1"/>
    <w:basedOn w:val="Carpredefinitoparagrafo"/>
    <w:uiPriority w:val="99"/>
    <w:semiHidden/>
    <w:unhideWhenUsed/>
    <w:rsid w:val="00664A79"/>
    <w:rPr>
      <w:color w:val="605E5C"/>
      <w:shd w:val="clear" w:color="auto" w:fill="E1DFDD"/>
    </w:rPr>
  </w:style>
  <w:style w:type="table" w:customStyle="1" w:styleId="TableNormal">
    <w:name w:val="Table Normal"/>
    <w:uiPriority w:val="2"/>
    <w:semiHidden/>
    <w:unhideWhenUsed/>
    <w:qFormat/>
    <w:rsid w:val="00320F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804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9.png"/><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5FB6D-7BBF-4585-BA79-CAF566AEC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11560</Words>
  <Characters>65896</Characters>
  <Application>Microsoft Office Word</Application>
  <DocSecurity>0</DocSecurity>
  <Lines>549</Lines>
  <Paragraphs>154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 Tarantino</dc:creator>
  <cp:keywords/>
  <dc:description/>
  <cp:lastModifiedBy>Massimo Ciralli</cp:lastModifiedBy>
  <cp:revision>2</cp:revision>
  <cp:lastPrinted>2024-04-11T11:39:00Z</cp:lastPrinted>
  <dcterms:created xsi:type="dcterms:W3CDTF">2025-02-06T16:08:00Z</dcterms:created>
  <dcterms:modified xsi:type="dcterms:W3CDTF">2025-02-06T16:08:00Z</dcterms:modified>
</cp:coreProperties>
</file>